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C92F" w14:textId="6C9A54D9"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Pr="00DB3907">
        <w:rPr>
          <w:rFonts w:cs="Courier New"/>
          <w:sz w:val="24"/>
          <w:szCs w:val="24"/>
          <w:lang w:val="de-DE"/>
        </w:rPr>
        <w:tab/>
        <w:t>R4-</w:t>
      </w:r>
      <w:r w:rsidR="00C0603F" w:rsidRPr="00C0603F">
        <w:rPr>
          <w:rFonts w:cs="Courier New"/>
          <w:sz w:val="24"/>
          <w:szCs w:val="24"/>
          <w:lang w:val="de-DE"/>
        </w:rPr>
        <w:t>165831</w:t>
      </w:r>
    </w:p>
    <w:p w14:paraId="31F2EABD" w14:textId="77777777" w:rsidR="00981D0D" w:rsidRPr="00DB3907" w:rsidRDefault="00981D0D" w:rsidP="00AC033F">
      <w:pPr>
        <w:pStyle w:val="Header"/>
        <w:tabs>
          <w:tab w:val="left" w:pos="6521"/>
        </w:tabs>
        <w:jc w:val="both"/>
        <w:rPr>
          <w:rFonts w:cs="Courier New"/>
          <w:sz w:val="24"/>
          <w:szCs w:val="24"/>
        </w:rPr>
      </w:pPr>
      <w:r>
        <w:rPr>
          <w:rFonts w:cs="Courier New"/>
          <w:sz w:val="24"/>
          <w:szCs w:val="24"/>
        </w:rPr>
        <w:t>Aug 22</w:t>
      </w:r>
      <w:r>
        <w:rPr>
          <w:rFonts w:cs="Courier New"/>
          <w:sz w:val="24"/>
          <w:szCs w:val="24"/>
          <w:vertAlign w:val="superscript"/>
        </w:rPr>
        <w:t xml:space="preserve">nd </w:t>
      </w:r>
      <w:r w:rsidRPr="00DB3907">
        <w:rPr>
          <w:rFonts w:cs="Courier New"/>
          <w:sz w:val="24"/>
          <w:szCs w:val="24"/>
        </w:rPr>
        <w:t xml:space="preserve">– </w:t>
      </w:r>
      <w:r>
        <w:rPr>
          <w:rFonts w:cs="Courier New"/>
          <w:sz w:val="24"/>
          <w:szCs w:val="24"/>
        </w:rPr>
        <w:t>26</w:t>
      </w:r>
      <w:r>
        <w:rPr>
          <w:rFonts w:cs="Courier New"/>
          <w:sz w:val="24"/>
          <w:szCs w:val="24"/>
          <w:vertAlign w:val="superscript"/>
        </w:rPr>
        <w:t>th</w:t>
      </w:r>
      <w:r>
        <w:rPr>
          <w:rFonts w:cs="Courier New"/>
          <w:sz w:val="24"/>
          <w:szCs w:val="24"/>
        </w:rPr>
        <w:t>, 2016</w:t>
      </w:r>
    </w:p>
    <w:p w14:paraId="4F242642" w14:textId="77777777" w:rsidR="00981D0D" w:rsidRPr="00DB3907" w:rsidRDefault="00981D0D" w:rsidP="00AC033F">
      <w:pPr>
        <w:pStyle w:val="Header"/>
        <w:jc w:val="both"/>
        <w:rPr>
          <w:rFonts w:cs="Courier New"/>
          <w:sz w:val="24"/>
          <w:szCs w:val="24"/>
        </w:rPr>
      </w:pPr>
      <w:r w:rsidRPr="008D7202">
        <w:rPr>
          <w:rFonts w:cs="Courier New"/>
          <w:sz w:val="24"/>
          <w:szCs w:val="24"/>
        </w:rPr>
        <w:t>Gothenburg, Sweden</w:t>
      </w:r>
      <w:r>
        <w:rPr>
          <w:rFonts w:cs="Courier New"/>
          <w:sz w:val="24"/>
          <w:szCs w:val="24"/>
        </w:rPr>
        <w:t xml:space="preserve"> </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48DC2062"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44668">
        <w:rPr>
          <w:rFonts w:ascii="Arial" w:hAnsi="Arial"/>
          <w:sz w:val="24"/>
          <w:lang w:val="en-US"/>
        </w:rPr>
        <w:t>10.3.1</w:t>
      </w:r>
    </w:p>
    <w:p w14:paraId="2BBA7BF1"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0EEBADCD"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81D0D">
        <w:rPr>
          <w:rFonts w:ascii="Arial" w:hAnsi="Arial"/>
          <w:sz w:val="24"/>
          <w:lang w:val="en-US"/>
        </w:rPr>
        <w:t>Methodology and further assumptions for NR coexistence study</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B4E60E8" w14:textId="5CE9A7BD" w:rsidR="00981D0D" w:rsidRDefault="00F54BE6" w:rsidP="00AC033F">
      <w:pPr>
        <w:jc w:val="both"/>
      </w:pPr>
      <w:r>
        <w:t xml:space="preserve">This contribution addresses the adjacent channel coexistence study which needs to be performed </w:t>
      </w:r>
      <w:r w:rsidR="005C7DA8">
        <w:t xml:space="preserve">by </w:t>
      </w:r>
      <w:r>
        <w:t xml:space="preserve">RAN4 to determine the RF requirements for the New Radio (NR) </w:t>
      </w:r>
      <w:r>
        <w:fldChar w:fldCharType="begin"/>
      </w:r>
      <w:r>
        <w:instrText xml:space="preserve"> REF _Ref450558125 \r \h </w:instrText>
      </w:r>
      <w:r w:rsidR="00BE4DD1">
        <w:instrText xml:space="preserve"> \* MERGEFORMAT </w:instrText>
      </w:r>
      <w:r>
        <w:fldChar w:fldCharType="separate"/>
      </w:r>
      <w:r w:rsidR="00573164">
        <w:t>[1]</w:t>
      </w:r>
      <w:r>
        <w:fldChar w:fldCharType="end"/>
      </w:r>
      <w:r>
        <w:t xml:space="preserve">. </w:t>
      </w:r>
      <w:r w:rsidR="00981D0D">
        <w:t xml:space="preserve">In RAN4 #79, a first discussion about the </w:t>
      </w:r>
      <w:r w:rsidR="005C7DA8">
        <w:t>NR</w:t>
      </w:r>
      <w:r w:rsidR="00981D0D">
        <w:t xml:space="preserve"> coexistence study </w:t>
      </w:r>
      <w:r w:rsidR="005C7DA8">
        <w:t>already</w:t>
      </w:r>
      <w:r w:rsidR="00981D0D">
        <w:t xml:space="preserve"> happened. Several companies provided input sharing their view</w:t>
      </w:r>
      <w:r w:rsidR="005C7DA8">
        <w:t>s</w:t>
      </w:r>
      <w:r w:rsidR="00981D0D">
        <w:t xml:space="preserve"> and a way forward on coexistence simulation assumptions was approved </w:t>
      </w:r>
      <w:r w:rsidR="00981D0D">
        <w:fldChar w:fldCharType="begin"/>
      </w:r>
      <w:r w:rsidR="00981D0D">
        <w:instrText xml:space="preserve"> REF _Ref458418759 \r \h </w:instrText>
      </w:r>
      <w:r w:rsidR="00AC033F">
        <w:instrText xml:space="preserve"> \* MERGEFORMAT </w:instrText>
      </w:r>
      <w:r w:rsidR="00981D0D">
        <w:fldChar w:fldCharType="separate"/>
      </w:r>
      <w:r w:rsidR="00573164">
        <w:t>[2]</w:t>
      </w:r>
      <w:r w:rsidR="00981D0D">
        <w:fldChar w:fldCharType="end"/>
      </w:r>
      <w:r w:rsidR="00981D0D">
        <w:t>.</w:t>
      </w:r>
    </w:p>
    <w:p w14:paraId="6FA35972" w14:textId="14BA6F81" w:rsidR="00981D0D" w:rsidRDefault="00981D0D" w:rsidP="00AC033F">
      <w:pPr>
        <w:jc w:val="both"/>
      </w:pPr>
      <w:r>
        <w:t xml:space="preserve">The goal of this contribution is to provide further details about the simulation methodology to be adopted by RAN4 in order to determine suitable RF requirements for operation in </w:t>
      </w:r>
      <w:r w:rsidR="00A13B01">
        <w:t xml:space="preserve">the </w:t>
      </w:r>
      <w:r>
        <w:t xml:space="preserve">millimetre waves (mmW) </w:t>
      </w:r>
      <w:r w:rsidR="00A13B01">
        <w:t>spectrum</w:t>
      </w:r>
      <w:r>
        <w:t xml:space="preserve">. By reviewing the methodology we will also provide </w:t>
      </w:r>
      <w:r w:rsidR="00A13B01">
        <w:t>our view on specific simulations assumptions to be adopted in the study.</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665DE0A" w14:textId="4C59EB59" w:rsidR="00A13B01" w:rsidRDefault="00A13B01" w:rsidP="00AC033F">
      <w:pPr>
        <w:jc w:val="both"/>
        <w:rPr>
          <w:lang w:eastAsia="ja-JP"/>
        </w:rPr>
      </w:pPr>
      <w:r>
        <w:rPr>
          <w:lang w:val="en-US"/>
        </w:rPr>
        <w:t xml:space="preserve">In </w:t>
      </w:r>
      <w:r>
        <w:rPr>
          <w:lang w:val="en-US"/>
        </w:rPr>
        <w:fldChar w:fldCharType="begin"/>
      </w:r>
      <w:r>
        <w:rPr>
          <w:lang w:val="en-US"/>
        </w:rPr>
        <w:instrText xml:space="preserve"> REF _Ref458419065 \r \h </w:instrText>
      </w:r>
      <w:r w:rsidR="00AC033F">
        <w:rPr>
          <w:lang w:val="en-US"/>
        </w:rPr>
        <w:instrText xml:space="preserve"> \* MERGEFORMAT </w:instrText>
      </w:r>
      <w:r>
        <w:rPr>
          <w:lang w:val="en-US"/>
        </w:rPr>
      </w:r>
      <w:r>
        <w:rPr>
          <w:lang w:val="en-US"/>
        </w:rPr>
        <w:fldChar w:fldCharType="separate"/>
      </w:r>
      <w:r w:rsidR="00573164">
        <w:rPr>
          <w:lang w:val="en-US"/>
        </w:rPr>
        <w:t>[3]</w:t>
      </w:r>
      <w:r>
        <w:rPr>
          <w:lang w:val="en-US"/>
        </w:rPr>
        <w:fldChar w:fldCharType="end"/>
      </w:r>
      <w:r>
        <w:rPr>
          <w:lang w:val="en-US"/>
        </w:rPr>
        <w:t xml:space="preserve">, we provided a detailed overview of the classical RAN4 methodology for the adjacent channel coexistence simulations. </w:t>
      </w:r>
      <w:r w:rsidR="00FF7978">
        <w:rPr>
          <w:lang w:val="en-US"/>
        </w:rPr>
        <w:t xml:space="preserve">The overall methodology is captured in two technical reports, TR 36.942 for LTE </w:t>
      </w:r>
      <w:r w:rsidR="00FF7978">
        <w:rPr>
          <w:lang w:val="en-US"/>
        </w:rPr>
        <w:fldChar w:fldCharType="begin"/>
      </w:r>
      <w:r w:rsidR="00FF7978">
        <w:rPr>
          <w:lang w:val="en-US"/>
        </w:rPr>
        <w:instrText xml:space="preserve"> REF _Ref450558964 \r \h  \* MERGEFORMAT </w:instrText>
      </w:r>
      <w:r w:rsidR="00FF7978">
        <w:rPr>
          <w:lang w:val="en-US"/>
        </w:rPr>
      </w:r>
      <w:r w:rsidR="00FF7978">
        <w:rPr>
          <w:lang w:val="en-US"/>
        </w:rPr>
        <w:fldChar w:fldCharType="separate"/>
      </w:r>
      <w:r w:rsidR="00573164">
        <w:rPr>
          <w:lang w:val="en-US"/>
        </w:rPr>
        <w:t>[3]</w:t>
      </w:r>
      <w:r w:rsidR="00FF7978">
        <w:rPr>
          <w:lang w:val="en-US"/>
        </w:rPr>
        <w:fldChar w:fldCharType="end"/>
      </w:r>
      <w:r w:rsidR="00D91D93">
        <w:rPr>
          <w:lang w:val="en-US"/>
        </w:rPr>
        <w:t xml:space="preserve"> </w:t>
      </w:r>
      <w:r w:rsidR="00FF7978">
        <w:rPr>
          <w:lang w:val="en-US"/>
        </w:rPr>
        <w:t xml:space="preserve">and TR 25.942 for UMTS </w:t>
      </w:r>
      <w:r w:rsidR="00FF7978">
        <w:rPr>
          <w:lang w:val="en-US"/>
        </w:rPr>
        <w:fldChar w:fldCharType="begin"/>
      </w:r>
      <w:r w:rsidR="00FF7978">
        <w:rPr>
          <w:lang w:val="en-US"/>
        </w:rPr>
        <w:instrText xml:space="preserve"> REF _Ref450558961 \r \h  \* MERGEFORMAT </w:instrText>
      </w:r>
      <w:r w:rsidR="00FF7978">
        <w:rPr>
          <w:lang w:val="en-US"/>
        </w:rPr>
      </w:r>
      <w:r w:rsidR="00FF7978">
        <w:rPr>
          <w:lang w:val="en-US"/>
        </w:rPr>
        <w:fldChar w:fldCharType="separate"/>
      </w:r>
      <w:r w:rsidR="00573164">
        <w:rPr>
          <w:lang w:val="en-US"/>
        </w:rPr>
        <w:t>[10]</w:t>
      </w:r>
      <w:r w:rsidR="00FF7978">
        <w:rPr>
          <w:lang w:val="en-US"/>
        </w:rPr>
        <w:fldChar w:fldCharType="end"/>
      </w:r>
      <w:r w:rsidR="00B33144">
        <w:rPr>
          <w:lang w:val="en-US"/>
        </w:rPr>
        <w:t>, and it</w:t>
      </w:r>
      <w:r w:rsidR="00FF7978">
        <w:rPr>
          <w:lang w:val="en-US"/>
        </w:rPr>
        <w:t xml:space="preserve"> is based</w:t>
      </w:r>
      <w:r w:rsidR="00B33144">
        <w:rPr>
          <w:lang w:val="en-US"/>
        </w:rPr>
        <w:t xml:space="preserve"> on</w:t>
      </w:r>
      <w:r w:rsidR="00FF7978">
        <w:rPr>
          <w:lang w:val="en-US"/>
        </w:rPr>
        <w:t xml:space="preserve"> Monte</w:t>
      </w:r>
      <w:r w:rsidR="00866B8A">
        <w:rPr>
          <w:lang w:val="en-US"/>
        </w:rPr>
        <w:t xml:space="preserve"> </w:t>
      </w:r>
      <w:r w:rsidR="00D91D93">
        <w:rPr>
          <w:lang w:val="en-US"/>
        </w:rPr>
        <w:t>C</w:t>
      </w:r>
      <w:r w:rsidR="00B33144">
        <w:rPr>
          <w:lang w:val="en-US"/>
        </w:rPr>
        <w:t>arlo trials in which each</w:t>
      </w:r>
      <w:r w:rsidR="00FF7978">
        <w:rPr>
          <w:lang w:val="en-US"/>
        </w:rPr>
        <w:t xml:space="preserve"> snapshot represents an independent network realization. </w:t>
      </w:r>
      <w:r>
        <w:rPr>
          <w:lang w:val="en-US"/>
        </w:rPr>
        <w:t xml:space="preserve">When dealing with coexistence study in very high frequencies (mmW), the main </w:t>
      </w:r>
      <w:r w:rsidR="005C7DA8">
        <w:rPr>
          <w:lang w:val="en-US"/>
        </w:rPr>
        <w:t xml:space="preserve">new </w:t>
      </w:r>
      <w:r>
        <w:rPr>
          <w:lang w:val="en-US"/>
        </w:rPr>
        <w:t xml:space="preserve">aspect which needs to be taken into account is </w:t>
      </w:r>
      <w:r w:rsidR="005C7DA8">
        <w:rPr>
          <w:lang w:val="en-US"/>
        </w:rPr>
        <w:t xml:space="preserve">use of </w:t>
      </w:r>
      <w:r w:rsidR="005C7DA8">
        <w:rPr>
          <w:lang w:eastAsia="ja-JP"/>
        </w:rPr>
        <w:t>directi</w:t>
      </w:r>
      <w:r w:rsidR="00866B8A">
        <w:rPr>
          <w:lang w:eastAsia="ja-JP"/>
        </w:rPr>
        <w:t>onal</w:t>
      </w:r>
      <w:r w:rsidRPr="00822528">
        <w:rPr>
          <w:lang w:eastAsia="ja-JP"/>
        </w:rPr>
        <w:t xml:space="preserve"> </w:t>
      </w:r>
      <w:r w:rsidR="00866B8A">
        <w:rPr>
          <w:lang w:eastAsia="ja-JP"/>
        </w:rPr>
        <w:t>beamforming</w:t>
      </w:r>
      <w:r w:rsidRPr="00822528">
        <w:rPr>
          <w:lang w:eastAsia="ja-JP"/>
        </w:rPr>
        <w:t xml:space="preserve"> </w:t>
      </w:r>
      <w:r>
        <w:rPr>
          <w:lang w:eastAsia="ja-JP"/>
        </w:rPr>
        <w:t xml:space="preserve">which is necessary to close the link budget </w:t>
      </w:r>
      <w:r w:rsidR="005C7DA8">
        <w:rPr>
          <w:lang w:eastAsia="ja-JP"/>
        </w:rPr>
        <w:t>in specific</w:t>
      </w:r>
      <w:r>
        <w:rPr>
          <w:lang w:eastAsia="ja-JP"/>
        </w:rPr>
        <w:t xml:space="preserve"> high propagation loss</w:t>
      </w:r>
      <w:r w:rsidR="005C7DA8">
        <w:rPr>
          <w:lang w:eastAsia="ja-JP"/>
        </w:rPr>
        <w:t xml:space="preserve"> scenarios</w:t>
      </w:r>
      <w:r w:rsidRPr="00822528">
        <w:rPr>
          <w:lang w:eastAsia="ja-JP"/>
        </w:rPr>
        <w:t xml:space="preserve">. This will </w:t>
      </w:r>
      <w:r w:rsidR="00866B8A">
        <w:rPr>
          <w:lang w:eastAsia="ja-JP"/>
        </w:rPr>
        <w:t>add</w:t>
      </w:r>
      <w:r w:rsidR="005C7DA8">
        <w:rPr>
          <w:lang w:eastAsia="ja-JP"/>
        </w:rPr>
        <w:t xml:space="preserve"> </w:t>
      </w:r>
      <w:r w:rsidRPr="00822528">
        <w:rPr>
          <w:lang w:eastAsia="ja-JP"/>
        </w:rPr>
        <w:t xml:space="preserve">a complete new dimension </w:t>
      </w:r>
      <w:r w:rsidR="00866B8A">
        <w:rPr>
          <w:lang w:eastAsia="ja-JP"/>
        </w:rPr>
        <w:t>to</w:t>
      </w:r>
      <w:r w:rsidRPr="00822528">
        <w:rPr>
          <w:lang w:eastAsia="ja-JP"/>
        </w:rPr>
        <w:t xml:space="preserve"> the ACI coex study, i.e. the spatial control of the interference. </w:t>
      </w:r>
      <w:r>
        <w:rPr>
          <w:lang w:eastAsia="ja-JP"/>
        </w:rPr>
        <w:t xml:space="preserve">In the following sections, we will </w:t>
      </w:r>
      <w:r w:rsidR="00E33245">
        <w:rPr>
          <w:lang w:eastAsia="ja-JP"/>
        </w:rPr>
        <w:t xml:space="preserve">provide details about the different steps involved in the simulation process. The goal is to update the well consolidated RAN4 methodology by taking into account the new aspects </w:t>
      </w:r>
      <w:r w:rsidR="005C7DA8">
        <w:rPr>
          <w:lang w:eastAsia="ja-JP"/>
        </w:rPr>
        <w:t xml:space="preserve">characterizing mmW scenarios. </w:t>
      </w:r>
    </w:p>
    <w:p w14:paraId="5C66A642" w14:textId="70A55548" w:rsidR="00A13B01" w:rsidRDefault="00A13B01" w:rsidP="00AC033F">
      <w:pPr>
        <w:pStyle w:val="Heading2"/>
        <w:jc w:val="both"/>
        <w:rPr>
          <w:lang w:val="en-US"/>
        </w:rPr>
      </w:pPr>
      <w:r>
        <w:rPr>
          <w:lang w:val="en-US"/>
        </w:rPr>
        <w:t xml:space="preserve">Antenna model and </w:t>
      </w:r>
      <w:r w:rsidR="005335E6">
        <w:rPr>
          <w:lang w:val="en-US"/>
        </w:rPr>
        <w:t>general</w:t>
      </w:r>
      <w:r>
        <w:rPr>
          <w:lang w:val="en-US"/>
        </w:rPr>
        <w:t xml:space="preserve"> methodology</w:t>
      </w:r>
    </w:p>
    <w:p w14:paraId="386B8DB2" w14:textId="55810DD9" w:rsidR="00B22E78" w:rsidRDefault="00730403" w:rsidP="00AC033F">
      <w:pPr>
        <w:jc w:val="both"/>
        <w:rPr>
          <w:lang w:val="en-US"/>
        </w:rPr>
      </w:pPr>
      <w:r>
        <w:rPr>
          <w:lang w:val="en-US"/>
        </w:rPr>
        <w:t xml:space="preserve">Antenna modeling is one of the most important aspects </w:t>
      </w:r>
      <w:r w:rsidR="005C7DA8">
        <w:rPr>
          <w:lang w:val="en-US"/>
        </w:rPr>
        <w:t xml:space="preserve">for </w:t>
      </w:r>
      <w:r>
        <w:rPr>
          <w:lang w:val="en-US"/>
        </w:rPr>
        <w:t>the NR adja</w:t>
      </w:r>
      <w:r w:rsidR="00B22E78">
        <w:rPr>
          <w:lang w:val="en-US"/>
        </w:rPr>
        <w:t xml:space="preserve">cent channel coexistence study. BS antenna model is based on a uniform rectangular panel array (URPA). An illustration of the URPA is shown in </w:t>
      </w:r>
      <w:r w:rsidR="00B22E78">
        <w:rPr>
          <w:lang w:val="en-US"/>
        </w:rPr>
        <w:fldChar w:fldCharType="begin"/>
      </w:r>
      <w:r w:rsidR="00B22E78">
        <w:rPr>
          <w:lang w:val="en-US"/>
        </w:rPr>
        <w:instrText xml:space="preserve"> REF _Ref458421942 \h </w:instrText>
      </w:r>
      <w:r w:rsidR="00362266">
        <w:rPr>
          <w:lang w:val="en-US"/>
        </w:rPr>
        <w:instrText xml:space="preserve"> \* MERGEFORMAT </w:instrText>
      </w:r>
      <w:r w:rsidR="00B22E78">
        <w:rPr>
          <w:lang w:val="en-US"/>
        </w:rPr>
      </w:r>
      <w:r w:rsidR="00B22E78">
        <w:rPr>
          <w:lang w:val="en-US"/>
        </w:rPr>
        <w:fldChar w:fldCharType="separate"/>
      </w:r>
      <w:r w:rsidR="00573164">
        <w:t xml:space="preserve">Figure </w:t>
      </w:r>
      <w:r w:rsidR="00573164">
        <w:rPr>
          <w:noProof/>
        </w:rPr>
        <w:t>1</w:t>
      </w:r>
      <w:r w:rsidR="00B22E78">
        <w:rPr>
          <w:lang w:val="en-US"/>
        </w:rPr>
        <w:fldChar w:fldCharType="end"/>
      </w:r>
      <w:r w:rsidR="00B22E78">
        <w:rPr>
          <w:lang w:val="en-US"/>
        </w:rPr>
        <w:t xml:space="preserve"> </w:t>
      </w:r>
      <w:r w:rsidR="00B22E78">
        <w:rPr>
          <w:lang w:val="en-US"/>
        </w:rPr>
        <w:fldChar w:fldCharType="begin"/>
      </w:r>
      <w:r w:rsidR="00B22E78">
        <w:rPr>
          <w:lang w:val="en-US"/>
        </w:rPr>
        <w:instrText xml:space="preserve"> REF _Ref458421956 \r \h </w:instrText>
      </w:r>
      <w:r w:rsidR="00362266">
        <w:rPr>
          <w:lang w:val="en-US"/>
        </w:rPr>
        <w:instrText xml:space="preserve"> \* MERGEFORMAT </w:instrText>
      </w:r>
      <w:r w:rsidR="00B22E78">
        <w:rPr>
          <w:lang w:val="en-US"/>
        </w:rPr>
      </w:r>
      <w:r w:rsidR="00B22E78">
        <w:rPr>
          <w:lang w:val="en-US"/>
        </w:rPr>
        <w:fldChar w:fldCharType="separate"/>
      </w:r>
      <w:r w:rsidR="00573164">
        <w:rPr>
          <w:lang w:val="en-US"/>
        </w:rPr>
        <w:t>[5]</w:t>
      </w:r>
      <w:r w:rsidR="00B22E78">
        <w:rPr>
          <w:lang w:val="en-US"/>
        </w:rPr>
        <w:fldChar w:fldCharType="end"/>
      </w:r>
      <w:r w:rsidR="00B00983">
        <w:rPr>
          <w:lang w:val="en-US"/>
        </w:rPr>
        <w:t xml:space="preserve">: </w:t>
      </w:r>
      <w:r w:rsidR="00B00983">
        <w:rPr>
          <w:rFonts w:eastAsia="Malgun Gothic" w:hint="eastAsia"/>
        </w:rPr>
        <w:t xml:space="preserve">URPA </w:t>
      </w:r>
      <w:r w:rsidR="00B00983">
        <w:t>consists of</w:t>
      </w:r>
      <w:r w:rsidR="00B00983" w:rsidRPr="00FB41E4">
        <w:t xml:space="preserve"> multiple (</w:t>
      </w:r>
      <w:r w:rsidR="00B00983" w:rsidRPr="00FB41E4">
        <w:rPr>
          <w:i/>
        </w:rPr>
        <w:t>M</w:t>
      </w:r>
      <w:r w:rsidR="00B00983" w:rsidRPr="00FB41E4">
        <w:rPr>
          <w:i/>
          <w:vertAlign w:val="subscript"/>
        </w:rPr>
        <w:t>g</w:t>
      </w:r>
      <w:r w:rsidR="00B00983" w:rsidRPr="00FB41E4">
        <w:t>∙</w:t>
      </w:r>
      <w:r w:rsidR="00B00983" w:rsidRPr="00FB41E4">
        <w:rPr>
          <w:i/>
        </w:rPr>
        <w:t>N</w:t>
      </w:r>
      <w:r w:rsidR="00B00983" w:rsidRPr="00FB41E4">
        <w:rPr>
          <w:i/>
          <w:vertAlign w:val="subscript"/>
        </w:rPr>
        <w:t>g</w:t>
      </w:r>
      <w:r w:rsidR="00B00983" w:rsidRPr="00FB41E4">
        <w:t>) antenna panels</w:t>
      </w:r>
      <w:r w:rsidR="00B00983">
        <w:rPr>
          <w:rFonts w:eastAsia="Malgun Gothic" w:hint="eastAsia"/>
        </w:rPr>
        <w:t>,</w:t>
      </w:r>
      <w:r w:rsidR="00B00983" w:rsidRPr="00FB41E4">
        <w:t xml:space="preserve"> </w:t>
      </w:r>
      <w:r w:rsidR="00B00983">
        <w:rPr>
          <w:rFonts w:eastAsia="Malgun Gothic" w:hint="eastAsia"/>
        </w:rPr>
        <w:t>o</w:t>
      </w:r>
      <w:r w:rsidR="00B00983" w:rsidRPr="00FB41E4">
        <w:t xml:space="preserve">n each </w:t>
      </w:r>
      <w:r w:rsidR="00B00983">
        <w:rPr>
          <w:rFonts w:eastAsia="Malgun Gothic" w:hint="eastAsia"/>
        </w:rPr>
        <w:t>of which</w:t>
      </w:r>
      <w:r w:rsidR="00B00983" w:rsidRPr="00FB41E4">
        <w:t>, uniform rectangular array is placed, which comprises multiple antenna elements with (</w:t>
      </w:r>
      <w:r w:rsidR="00B00983" w:rsidRPr="00FB41E4">
        <w:rPr>
          <w:i/>
        </w:rPr>
        <w:t>M, N, P</w:t>
      </w:r>
      <w:r w:rsidR="00B00983" w:rsidRPr="00FB41E4">
        <w:t>) and (</w:t>
      </w:r>
      <w:r w:rsidR="00B00983" w:rsidRPr="00FB41E4">
        <w:rPr>
          <w:i/>
        </w:rPr>
        <w:t>d</w:t>
      </w:r>
      <w:r w:rsidR="00B00983" w:rsidRPr="00E963EE">
        <w:rPr>
          <w:vertAlign w:val="subscript"/>
        </w:rPr>
        <w:t>H</w:t>
      </w:r>
      <w:r w:rsidR="00B00983" w:rsidRPr="00FB41E4">
        <w:t xml:space="preserve">, </w:t>
      </w:r>
      <w:r w:rsidR="00B00983" w:rsidRPr="00FB41E4">
        <w:rPr>
          <w:i/>
        </w:rPr>
        <w:t>d</w:t>
      </w:r>
      <w:r w:rsidR="00B00983" w:rsidRPr="00E963EE">
        <w:rPr>
          <w:vertAlign w:val="subscript"/>
        </w:rPr>
        <w:t>V</w:t>
      </w:r>
      <w:r w:rsidR="00B00983" w:rsidRPr="00FB41E4">
        <w:t>) as defined in</w:t>
      </w:r>
      <w:r w:rsidR="00B00983">
        <w:t xml:space="preserve"> </w:t>
      </w:r>
      <w:r w:rsidR="00B00983">
        <w:fldChar w:fldCharType="begin"/>
      </w:r>
      <w:r w:rsidR="00B00983">
        <w:instrText xml:space="preserve"> REF _Ref458422423 \r \h </w:instrText>
      </w:r>
      <w:r w:rsidR="00362266">
        <w:instrText xml:space="preserve"> \* MERGEFORMAT </w:instrText>
      </w:r>
      <w:r w:rsidR="00B00983">
        <w:fldChar w:fldCharType="separate"/>
      </w:r>
      <w:r w:rsidR="00573164">
        <w:t>[7]</w:t>
      </w:r>
      <w:r w:rsidR="00B00983">
        <w:fldChar w:fldCharType="end"/>
      </w:r>
      <w:r w:rsidR="00362266">
        <w:t xml:space="preserve">, where </w:t>
      </w:r>
      <w:r w:rsidR="00362266">
        <w:rPr>
          <w:i/>
        </w:rPr>
        <w:t xml:space="preserve">M, N </w:t>
      </w:r>
      <w:r w:rsidR="00362266" w:rsidRPr="00362266">
        <w:t>re</w:t>
      </w:r>
      <w:r w:rsidR="00362266">
        <w:t xml:space="preserve">present the number of </w:t>
      </w:r>
      <w:r w:rsidR="009538F9">
        <w:t>vertical</w:t>
      </w:r>
      <w:r w:rsidR="00362266">
        <w:t xml:space="preserve"> and </w:t>
      </w:r>
      <w:r w:rsidR="009538F9">
        <w:t>horizontal</w:t>
      </w:r>
      <w:r w:rsidR="00362266">
        <w:t xml:space="preserve"> elements in each panel, respectively, and </w:t>
      </w:r>
      <w:r w:rsidR="00362266" w:rsidRPr="00362266">
        <w:rPr>
          <w:i/>
        </w:rPr>
        <w:t>P</w:t>
      </w:r>
      <w:r w:rsidR="00362266">
        <w:t xml:space="preserve"> represents the number of available polarizations</w:t>
      </w:r>
      <w:r w:rsidR="00B00983">
        <w:t>.</w:t>
      </w:r>
    </w:p>
    <w:p w14:paraId="005A6F2D" w14:textId="77777777" w:rsidR="00B22E78" w:rsidRDefault="00B22E78" w:rsidP="006E1B84">
      <w:pPr>
        <w:keepNext/>
        <w:jc w:val="center"/>
      </w:pPr>
      <w:r>
        <w:object w:dxaOrig="7469" w:dyaOrig="2956" w14:anchorId="3E773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47.6pt" o:ole="">
            <v:imagedata r:id="rId8" o:title=""/>
          </v:shape>
          <o:OLEObject Type="Embed" ProgID="Visio.Drawing.11" ShapeID="_x0000_i1025" DrawAspect="Content" ObjectID="_1532547811" r:id="rId9"/>
        </w:object>
      </w:r>
    </w:p>
    <w:p w14:paraId="7737D17E" w14:textId="6B0018A3" w:rsidR="0081279F" w:rsidRDefault="00B22E78" w:rsidP="006E1B84">
      <w:pPr>
        <w:pStyle w:val="Caption"/>
        <w:jc w:val="center"/>
      </w:pPr>
      <w:bookmarkStart w:id="0" w:name="_Ref458421942"/>
      <w:r>
        <w:t xml:space="preserve">Figure </w:t>
      </w:r>
      <w:r>
        <w:fldChar w:fldCharType="begin"/>
      </w:r>
      <w:r>
        <w:instrText xml:space="preserve"> SEQ Figure \* ARABIC </w:instrText>
      </w:r>
      <w:r>
        <w:fldChar w:fldCharType="separate"/>
      </w:r>
      <w:r w:rsidR="00573164">
        <w:rPr>
          <w:noProof/>
        </w:rPr>
        <w:t>1</w:t>
      </w:r>
      <w:r>
        <w:fldChar w:fldCharType="end"/>
      </w:r>
      <w:bookmarkEnd w:id="0"/>
      <w:r>
        <w:t>. Uniform Rectangular Panel Array (URPA)</w:t>
      </w:r>
      <w:r w:rsidR="005C7DA8">
        <w:t xml:space="preserve"> </w:t>
      </w:r>
      <w:r w:rsidR="005C7DA8">
        <w:rPr>
          <w:lang w:val="en-US"/>
        </w:rPr>
        <w:fldChar w:fldCharType="begin"/>
      </w:r>
      <w:r w:rsidR="005C7DA8">
        <w:rPr>
          <w:lang w:val="en-US"/>
        </w:rPr>
        <w:instrText xml:space="preserve"> REF _Ref458421956 \r \h  \* MERGEFORMAT </w:instrText>
      </w:r>
      <w:r w:rsidR="005C7DA8">
        <w:rPr>
          <w:lang w:val="en-US"/>
        </w:rPr>
      </w:r>
      <w:r w:rsidR="005C7DA8">
        <w:rPr>
          <w:lang w:val="en-US"/>
        </w:rPr>
        <w:fldChar w:fldCharType="separate"/>
      </w:r>
      <w:r w:rsidR="00573164">
        <w:rPr>
          <w:lang w:val="en-US"/>
        </w:rPr>
        <w:t>[5]</w:t>
      </w:r>
      <w:r w:rsidR="005C7DA8">
        <w:rPr>
          <w:lang w:val="en-US"/>
        </w:rPr>
        <w:fldChar w:fldCharType="end"/>
      </w:r>
      <w:r>
        <w:t>.</w:t>
      </w:r>
    </w:p>
    <w:p w14:paraId="5608B5DC" w14:textId="77777777" w:rsidR="00B22E78" w:rsidRPr="00B22E78" w:rsidRDefault="00B22E78" w:rsidP="00AC033F">
      <w:pPr>
        <w:jc w:val="both"/>
        <w:rPr>
          <w:lang w:val="en-US"/>
        </w:rPr>
      </w:pPr>
    </w:p>
    <w:p w14:paraId="60228979" w14:textId="57BC2B8F" w:rsidR="009770AF" w:rsidRDefault="00362266" w:rsidP="00AC033F">
      <w:pPr>
        <w:jc w:val="both"/>
        <w:rPr>
          <w:lang w:val="en-US"/>
        </w:rPr>
      </w:pPr>
      <w:r>
        <w:rPr>
          <w:lang w:val="en-US"/>
        </w:rPr>
        <w:lastRenderedPageBreak/>
        <w:t xml:space="preserve">Depending on the available configuration in terms of </w:t>
      </w:r>
      <w:r w:rsidR="00461C55">
        <w:rPr>
          <w:lang w:val="en-US"/>
        </w:rPr>
        <w:t xml:space="preserve">number </w:t>
      </w:r>
      <w:r>
        <w:rPr>
          <w:lang w:val="en-US"/>
        </w:rPr>
        <w:t xml:space="preserve">panels, number of elements in each panel, and number of polarization available a total number of beams can be created. In the following we provide a general mathematical description of each beam following </w:t>
      </w:r>
      <w:r>
        <w:rPr>
          <w:lang w:val="en-US"/>
        </w:rPr>
        <w:fldChar w:fldCharType="begin"/>
      </w:r>
      <w:r>
        <w:rPr>
          <w:lang w:val="en-US"/>
        </w:rPr>
        <w:instrText xml:space="preserve"> REF _Ref458423517 \r \h </w:instrText>
      </w:r>
      <w:r w:rsidR="00AC033F">
        <w:rPr>
          <w:lang w:val="en-US"/>
        </w:rPr>
        <w:instrText xml:space="preserve"> \* MERGEFORMAT </w:instrText>
      </w:r>
      <w:r>
        <w:rPr>
          <w:lang w:val="en-US"/>
        </w:rPr>
      </w:r>
      <w:r>
        <w:rPr>
          <w:lang w:val="en-US"/>
        </w:rPr>
        <w:fldChar w:fldCharType="separate"/>
      </w:r>
      <w:r w:rsidR="00573164">
        <w:rPr>
          <w:lang w:val="en-US"/>
        </w:rPr>
        <w:t>[6]</w:t>
      </w:r>
      <w:r>
        <w:rPr>
          <w:lang w:val="en-US"/>
        </w:rPr>
        <w:fldChar w:fldCharType="end"/>
      </w:r>
      <w:r w:rsidR="00D0725D">
        <w:rPr>
          <w:lang w:val="en-US"/>
        </w:rPr>
        <w:t xml:space="preserve">, </w:t>
      </w:r>
      <w:r>
        <w:rPr>
          <w:lang w:val="en-US"/>
        </w:rPr>
        <w:fldChar w:fldCharType="begin"/>
      </w:r>
      <w:r>
        <w:rPr>
          <w:lang w:val="en-US"/>
        </w:rPr>
        <w:instrText xml:space="preserve"> REF _Ref458422423 \r \h </w:instrText>
      </w:r>
      <w:r w:rsidR="00AC033F">
        <w:rPr>
          <w:lang w:val="en-US"/>
        </w:rPr>
        <w:instrText xml:space="preserve"> \* MERGEFORMAT </w:instrText>
      </w:r>
      <w:r>
        <w:rPr>
          <w:lang w:val="en-US"/>
        </w:rPr>
      </w:r>
      <w:r>
        <w:rPr>
          <w:lang w:val="en-US"/>
        </w:rPr>
        <w:fldChar w:fldCharType="separate"/>
      </w:r>
      <w:r w:rsidR="00573164">
        <w:rPr>
          <w:lang w:val="en-US"/>
        </w:rPr>
        <w:t>[7]</w:t>
      </w:r>
      <w:r>
        <w:rPr>
          <w:lang w:val="en-US"/>
        </w:rPr>
        <w:fldChar w:fldCharType="end"/>
      </w:r>
      <w:r w:rsidR="00D0725D">
        <w:rPr>
          <w:lang w:val="en-US"/>
        </w:rPr>
        <w:t xml:space="preserve">, </w:t>
      </w:r>
      <w:r w:rsidR="009770AF">
        <w:rPr>
          <w:lang w:val="en-US"/>
        </w:rPr>
        <w:fldChar w:fldCharType="begin"/>
      </w:r>
      <w:r w:rsidR="009770AF">
        <w:rPr>
          <w:lang w:val="en-US"/>
        </w:rPr>
        <w:instrText xml:space="preserve"> REF _Ref458423575 \r \h </w:instrText>
      </w:r>
      <w:r w:rsidR="00AC033F">
        <w:rPr>
          <w:lang w:val="en-US"/>
        </w:rPr>
        <w:instrText xml:space="preserve"> \* MERGEFORMAT </w:instrText>
      </w:r>
      <w:r w:rsidR="009770AF">
        <w:rPr>
          <w:lang w:val="en-US"/>
        </w:rPr>
      </w:r>
      <w:r w:rsidR="009770AF">
        <w:rPr>
          <w:lang w:val="en-US"/>
        </w:rPr>
        <w:fldChar w:fldCharType="separate"/>
      </w:r>
      <w:r w:rsidR="00573164">
        <w:rPr>
          <w:lang w:val="en-US"/>
        </w:rPr>
        <w:t>[8]</w:t>
      </w:r>
      <w:r w:rsidR="009770AF">
        <w:rPr>
          <w:lang w:val="en-US"/>
        </w:rPr>
        <w:fldChar w:fldCharType="end"/>
      </w:r>
      <w:r w:rsidR="009770AF">
        <w:rPr>
          <w:lang w:val="en-US"/>
        </w:rPr>
        <w:t xml:space="preserve">. We do not </w:t>
      </w:r>
      <w:r w:rsidR="00AD5FEF">
        <w:rPr>
          <w:lang w:val="en-US"/>
        </w:rPr>
        <w:t xml:space="preserve">define </w:t>
      </w:r>
      <w:r w:rsidR="009770AF">
        <w:rPr>
          <w:lang w:val="en-US"/>
        </w:rPr>
        <w:t xml:space="preserve">here the specific parameters to be adopted since we leave this to discussion in the RAN4 floor. </w:t>
      </w:r>
    </w:p>
    <w:p w14:paraId="7BF742F4" w14:textId="71355E96" w:rsidR="00310840" w:rsidRPr="002E38E3" w:rsidRDefault="009770AF" w:rsidP="00AC033F">
      <w:pPr>
        <w:tabs>
          <w:tab w:val="num" w:pos="720"/>
        </w:tabs>
        <w:jc w:val="both"/>
        <w:rPr>
          <w:lang w:val="en-US"/>
        </w:rPr>
      </w:pPr>
      <w:r>
        <w:rPr>
          <w:lang w:val="en-US"/>
        </w:rPr>
        <w:t>In general</w:t>
      </w:r>
      <w:r w:rsidR="002E38E3">
        <w:rPr>
          <w:lang w:val="en-US"/>
        </w:rPr>
        <w:t xml:space="preserve">, for each </w:t>
      </w:r>
      <w:r w:rsidR="00310840" w:rsidRPr="002E38E3">
        <w:rPr>
          <w:lang w:val="en-US"/>
        </w:rPr>
        <w:t xml:space="preserve">Base Station </w:t>
      </w:r>
      <w:r w:rsidR="00170FD2">
        <w:rPr>
          <w:lang w:val="en-US"/>
        </w:rPr>
        <w:t>beam</w:t>
      </w:r>
      <w:r w:rsidR="00170FD2" w:rsidRPr="002E38E3">
        <w:rPr>
          <w:lang w:val="en-US"/>
        </w:rPr>
        <w:t xml:space="preserve"> </w:t>
      </w:r>
      <w:r w:rsidR="00310840" w:rsidRPr="002E38E3">
        <w:rPr>
          <w:lang w:val="en-US"/>
        </w:rPr>
        <w:t>the antenna gain is computed as follows:</w:t>
      </w:r>
    </w:p>
    <w:p w14:paraId="57D081D0" w14:textId="683CC370" w:rsidR="002E38E3" w:rsidRPr="002E38E3" w:rsidRDefault="002C3014" w:rsidP="00AC033F">
      <w:pPr>
        <w:ind w:left="720"/>
        <w:jc w:val="both"/>
        <w:rPr>
          <w:lang w:val="en-US"/>
        </w:rPr>
      </w:pPr>
      <m:oMathPara>
        <m:oMathParaPr>
          <m:jc m:val="centerGroup"/>
        </m:oMathParaPr>
        <m:oMath>
          <m:sSub>
            <m:sSubPr>
              <m:ctrlPr>
                <w:rPr>
                  <w:rFonts w:ascii="Cambria Math" w:hAnsi="Cambria Math"/>
                  <w:bCs/>
                  <w:i/>
                  <w:iCs/>
                  <w:lang w:val="en-US"/>
                </w:rPr>
              </m:ctrlPr>
            </m:sSubPr>
            <m:e>
              <m:r>
                <w:rPr>
                  <w:rFonts w:ascii="Cambria Math" w:hAnsi="Cambria Math"/>
                  <w:lang w:val="en-US"/>
                </w:rPr>
                <m:t>A</m:t>
              </m:r>
            </m:e>
            <m:sub>
              <m:r>
                <w:rPr>
                  <w:rFonts w:ascii="Cambria Math" w:hAnsi="Cambria Math"/>
                  <w:lang w:val="en-US"/>
                </w:rPr>
                <m:t>A</m:t>
              </m:r>
            </m:sub>
          </m:sSub>
          <m:d>
            <m:dPr>
              <m:ctrlPr>
                <w:rPr>
                  <w:rFonts w:ascii="Cambria Math" w:hAnsi="Cambria Math"/>
                  <w:bCs/>
                  <w:i/>
                  <w:iCs/>
                  <w:lang w:val="en-US"/>
                </w:rPr>
              </m:ctrlPr>
            </m:dPr>
            <m:e>
              <m:r>
                <w:rPr>
                  <w:rFonts w:ascii="Cambria Math" w:hAnsi="Cambria Math"/>
                  <w:lang w:val="en-US"/>
                </w:rPr>
                <m:t>θ,φ</m:t>
              </m:r>
            </m:e>
          </m:d>
          <m:r>
            <w:rPr>
              <w:rFonts w:ascii="Cambria Math" w:hAnsi="Cambria Math"/>
              <w:lang w:val="en-US"/>
            </w:rPr>
            <m:t>=</m:t>
          </m:r>
          <m:sSub>
            <m:sSubPr>
              <m:ctrlPr>
                <w:rPr>
                  <w:rFonts w:ascii="Cambria Math" w:hAnsi="Cambria Math"/>
                  <w:bCs/>
                  <w:i/>
                  <w:iCs/>
                  <w:lang w:val="en-US"/>
                </w:rPr>
              </m:ctrlPr>
            </m:sSubPr>
            <m:e>
              <m:r>
                <w:rPr>
                  <w:rFonts w:ascii="Cambria Math" w:hAnsi="Cambria Math"/>
                  <w:lang w:val="en-US"/>
                </w:rPr>
                <m:t>A</m:t>
              </m:r>
            </m:e>
            <m:sub>
              <m:r>
                <w:rPr>
                  <w:rFonts w:ascii="Cambria Math" w:hAnsi="Cambria Math"/>
                  <w:lang w:val="en-US"/>
                </w:rPr>
                <m:t>E</m:t>
              </m:r>
            </m:sub>
          </m:sSub>
          <m:d>
            <m:dPr>
              <m:ctrlPr>
                <w:rPr>
                  <w:rFonts w:ascii="Cambria Math" w:hAnsi="Cambria Math"/>
                  <w:bCs/>
                  <w:i/>
                  <w:iCs/>
                  <w:lang w:val="en-US"/>
                </w:rPr>
              </m:ctrlPr>
            </m:dPr>
            <m:e>
              <m:r>
                <w:rPr>
                  <w:rFonts w:ascii="Cambria Math" w:hAnsi="Cambria Math"/>
                  <w:lang w:val="en-US"/>
                </w:rPr>
                <m:t>θ,φ</m:t>
              </m:r>
            </m:e>
          </m:d>
          <m:r>
            <w:rPr>
              <w:rFonts w:ascii="Cambria Math" w:hAnsi="Cambria Math"/>
              <w:lang w:val="en-US"/>
            </w:rPr>
            <m:t>+</m:t>
          </m:r>
          <m:sSub>
            <m:sSubPr>
              <m:ctrlPr>
                <w:rPr>
                  <w:rFonts w:ascii="Cambria Math" w:hAnsi="Cambria Math"/>
                  <w:bCs/>
                  <w:i/>
                  <w:iCs/>
                  <w:lang w:val="en-US"/>
                </w:rPr>
              </m:ctrlPr>
            </m:sSubPr>
            <m:e>
              <m:r>
                <w:rPr>
                  <w:rFonts w:ascii="Cambria Math" w:hAnsi="Cambria Math"/>
                  <w:lang w:val="en-US"/>
                </w:rPr>
                <m:t>A</m:t>
              </m:r>
            </m:e>
            <m:sub>
              <m:r>
                <w:rPr>
                  <w:rFonts w:ascii="Cambria Math" w:hAnsi="Cambria Math"/>
                  <w:lang w:val="en-US"/>
                </w:rPr>
                <m:t>BF</m:t>
              </m:r>
            </m:sub>
          </m:sSub>
          <m:d>
            <m:dPr>
              <m:ctrlPr>
                <w:rPr>
                  <w:rFonts w:ascii="Cambria Math" w:hAnsi="Cambria Math"/>
                  <w:bCs/>
                  <w:i/>
                  <w:iCs/>
                  <w:lang w:val="en-US"/>
                </w:rPr>
              </m:ctrlPr>
            </m:dPr>
            <m:e>
              <m:r>
                <w:rPr>
                  <w:rFonts w:ascii="Cambria Math" w:hAnsi="Cambria Math"/>
                  <w:lang w:val="en-US"/>
                </w:rPr>
                <m:t>θ,φ</m:t>
              </m:r>
            </m:e>
          </m:d>
        </m:oMath>
      </m:oMathPara>
    </w:p>
    <w:p w14:paraId="261A8073" w14:textId="244037C3" w:rsidR="00310840" w:rsidRPr="002E38E3" w:rsidRDefault="00866B8A" w:rsidP="00AC033F">
      <w:pPr>
        <w:tabs>
          <w:tab w:val="num" w:pos="720"/>
        </w:tabs>
        <w:jc w:val="both"/>
        <w:rPr>
          <w:lang w:val="en-US"/>
        </w:rPr>
      </w:pPr>
      <w:r>
        <w:rPr>
          <w:lang w:val="en-US"/>
        </w:rPr>
        <w:t>w</w:t>
      </w:r>
      <w:r w:rsidR="00310840" w:rsidRPr="002E38E3">
        <w:rPr>
          <w:lang w:val="en-US"/>
        </w:rPr>
        <w:t xml:space="preserve">here </w:t>
      </w: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A</m:t>
            </m:r>
          </m:sub>
        </m:sSub>
        <m:d>
          <m:dPr>
            <m:ctrlPr>
              <w:rPr>
                <w:rFonts w:ascii="Cambria Math" w:hAnsi="Cambria Math"/>
                <w:i/>
                <w:iCs/>
                <w:lang w:val="en-US"/>
              </w:rPr>
            </m:ctrlPr>
          </m:dPr>
          <m:e>
            <m:r>
              <w:rPr>
                <w:rFonts w:ascii="Cambria Math" w:hAnsi="Cambria Math"/>
                <w:lang w:val="en-US"/>
              </w:rPr>
              <m:t>θ,φ</m:t>
            </m:r>
          </m:e>
        </m:d>
      </m:oMath>
      <w:r w:rsidR="008C4DC0">
        <w:rPr>
          <w:lang w:val="en-US"/>
        </w:rPr>
        <w:t xml:space="preserve"> is the total antenna gain/attenuation is</w:t>
      </w:r>
      <w:r w:rsidR="00310840" w:rsidRPr="002E38E3">
        <w:rPr>
          <w:lang w:val="en-US"/>
        </w:rPr>
        <w:t xml:space="preserve"> </w:t>
      </w: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lang w:val="en-US"/>
              </w:rPr>
            </m:ctrlPr>
          </m:dPr>
          <m:e>
            <m:r>
              <w:rPr>
                <w:rFonts w:ascii="Cambria Math" w:hAnsi="Cambria Math"/>
                <w:lang w:val="en-US"/>
              </w:rPr>
              <m:t>θ,φ</m:t>
            </m:r>
          </m:e>
        </m:d>
      </m:oMath>
      <w:r w:rsidR="00310840" w:rsidRPr="002E38E3">
        <w:rPr>
          <w:lang w:val="en-US"/>
        </w:rPr>
        <w:t xml:space="preserve"> is the element gain and </w:t>
      </w: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BF</m:t>
            </m:r>
          </m:sub>
        </m:sSub>
        <m:d>
          <m:dPr>
            <m:ctrlPr>
              <w:rPr>
                <w:rFonts w:ascii="Cambria Math" w:hAnsi="Cambria Math"/>
                <w:i/>
                <w:iCs/>
                <w:lang w:val="en-US"/>
              </w:rPr>
            </m:ctrlPr>
          </m:dPr>
          <m:e>
            <m:r>
              <w:rPr>
                <w:rFonts w:ascii="Cambria Math" w:hAnsi="Cambria Math"/>
                <w:lang w:val="en-US"/>
              </w:rPr>
              <m:t>θ,φ</m:t>
            </m:r>
          </m:e>
        </m:d>
      </m:oMath>
      <w:r w:rsidR="00310840" w:rsidRPr="002E38E3">
        <w:rPr>
          <w:lang w:val="en-US"/>
        </w:rPr>
        <w:t xml:space="preserve"> is the beamforming gain</w:t>
      </w:r>
      <w:r w:rsidR="002E38E3">
        <w:rPr>
          <w:lang w:val="en-US"/>
        </w:rPr>
        <w:t xml:space="preserve">. </w:t>
      </w:r>
      <w:r w:rsidR="00310840" w:rsidRPr="002E38E3">
        <w:rPr>
          <w:lang w:val="en-US"/>
        </w:rPr>
        <w:t>The element gain is provided by the following equations:</w:t>
      </w:r>
    </w:p>
    <w:p w14:paraId="61BE9038" w14:textId="569EA88A" w:rsidR="002E38E3" w:rsidRPr="002E38E3" w:rsidRDefault="002C3014" w:rsidP="00AC033F">
      <w:pPr>
        <w:ind w:left="720"/>
        <w:jc w:val="both"/>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E,H</m:t>
              </m:r>
            </m:sub>
          </m:sSub>
          <m:d>
            <m:dPr>
              <m:ctrlPr>
                <w:rPr>
                  <w:rFonts w:ascii="Cambria Math" w:hAnsi="Cambria Math"/>
                  <w:i/>
                  <w:iCs/>
                  <w:lang w:val="en-US"/>
                </w:rPr>
              </m:ctrlPr>
            </m:dPr>
            <m:e>
              <m:r>
                <w:rPr>
                  <w:rFonts w:ascii="Cambria Math" w:hAnsi="Cambria Math"/>
                  <w:lang w:val="en-US"/>
                </w:rPr>
                <m:t>φ</m:t>
              </m:r>
            </m:e>
          </m:d>
          <m:r>
            <w:rPr>
              <w:rFonts w:ascii="Cambria Math" w:hAnsi="Cambria Math"/>
              <w:lang w:val="en-US"/>
            </w:rPr>
            <m:t>=-</m:t>
          </m:r>
          <m:func>
            <m:funcPr>
              <m:ctrlPr>
                <w:rPr>
                  <w:rFonts w:ascii="Cambria Math" w:hAnsi="Cambria Math"/>
                  <w:i/>
                  <w:iCs/>
                  <w:lang w:val="en-US"/>
                </w:rPr>
              </m:ctrlPr>
            </m:funcPr>
            <m:fName>
              <m:r>
                <m:rPr>
                  <m:sty m:val="p"/>
                </m:rPr>
                <w:rPr>
                  <w:rFonts w:ascii="Cambria Math" w:hAnsi="Cambria Math"/>
                  <w:lang w:val="en-US"/>
                </w:rPr>
                <m:t>min</m:t>
              </m:r>
            </m:fName>
            <m:e>
              <m:d>
                <m:dPr>
                  <m:begChr m:val="["/>
                  <m:endChr m:val="]"/>
                  <m:ctrlPr>
                    <w:rPr>
                      <w:rFonts w:ascii="Cambria Math" w:hAnsi="Cambria Math"/>
                      <w:i/>
                      <w:iCs/>
                      <w:lang w:val="en-US"/>
                    </w:rPr>
                  </m:ctrlPr>
                </m:dPr>
                <m:e>
                  <m:r>
                    <w:rPr>
                      <w:rFonts w:ascii="Cambria Math" w:hAnsi="Cambria Math"/>
                      <w:lang w:val="en-US"/>
                    </w:rPr>
                    <m:t>12</m:t>
                  </m:r>
                  <m:sSup>
                    <m:sSupPr>
                      <m:ctrlPr>
                        <w:rPr>
                          <w:rFonts w:ascii="Cambria Math" w:hAnsi="Cambria Math"/>
                          <w:i/>
                          <w:iCs/>
                          <w:lang w:val="en-US"/>
                        </w:rPr>
                      </m:ctrlPr>
                    </m:sSupPr>
                    <m:e>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φ</m:t>
                              </m:r>
                            </m:num>
                            <m:den>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3dB</m:t>
                                  </m:r>
                                </m:sub>
                              </m:sSub>
                            </m:den>
                          </m:f>
                        </m:e>
                      </m:d>
                    </m:e>
                    <m:sup>
                      <m:r>
                        <w:rPr>
                          <w:rFonts w:ascii="Cambria Math" w:hAnsi="Cambria Math"/>
                          <w:lang w:val="en-US"/>
                        </w:rPr>
                        <m:t>2</m:t>
                      </m:r>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m</m:t>
                      </m:r>
                    </m:sub>
                  </m:sSub>
                </m:e>
              </m:d>
            </m:e>
          </m:func>
        </m:oMath>
      </m:oMathPara>
    </w:p>
    <w:p w14:paraId="66AFA961" w14:textId="4A707B00" w:rsidR="002E38E3" w:rsidRPr="002E38E3" w:rsidRDefault="002C3014" w:rsidP="00AC033F">
      <w:pPr>
        <w:ind w:left="720"/>
        <w:jc w:val="both"/>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E,V</m:t>
              </m:r>
            </m:sub>
          </m:sSub>
          <m:d>
            <m:dPr>
              <m:ctrlPr>
                <w:rPr>
                  <w:rFonts w:ascii="Cambria Math" w:hAnsi="Cambria Math"/>
                  <w:i/>
                  <w:iCs/>
                  <w:lang w:val="en-US"/>
                </w:rPr>
              </m:ctrlPr>
            </m:dPr>
            <m:e>
              <m:r>
                <w:rPr>
                  <w:rFonts w:ascii="Cambria Math" w:hAnsi="Cambria Math"/>
                  <w:lang w:val="en-US"/>
                </w:rPr>
                <m:t>θ</m:t>
              </m:r>
            </m:e>
          </m:d>
          <m:r>
            <w:rPr>
              <w:rFonts w:ascii="Cambria Math" w:hAnsi="Cambria Math"/>
              <w:lang w:val="en-US"/>
            </w:rPr>
            <m:t>=-</m:t>
          </m:r>
          <m:func>
            <m:funcPr>
              <m:ctrlPr>
                <w:rPr>
                  <w:rFonts w:ascii="Cambria Math" w:hAnsi="Cambria Math"/>
                  <w:i/>
                  <w:iCs/>
                  <w:lang w:val="en-US"/>
                </w:rPr>
              </m:ctrlPr>
            </m:funcPr>
            <m:fName>
              <m:r>
                <m:rPr>
                  <m:sty m:val="p"/>
                </m:rPr>
                <w:rPr>
                  <w:rFonts w:ascii="Cambria Math" w:hAnsi="Cambria Math"/>
                  <w:lang w:val="en-US"/>
                </w:rPr>
                <m:t>min</m:t>
              </m:r>
            </m:fName>
            <m:e>
              <m:d>
                <m:dPr>
                  <m:begChr m:val="["/>
                  <m:endChr m:val="]"/>
                  <m:ctrlPr>
                    <w:rPr>
                      <w:rFonts w:ascii="Cambria Math" w:hAnsi="Cambria Math"/>
                      <w:i/>
                      <w:iCs/>
                      <w:lang w:val="en-US"/>
                    </w:rPr>
                  </m:ctrlPr>
                </m:dPr>
                <m:e>
                  <m:r>
                    <w:rPr>
                      <w:rFonts w:ascii="Cambria Math" w:hAnsi="Cambria Math"/>
                      <w:lang w:val="en-US"/>
                    </w:rPr>
                    <m:t>12</m:t>
                  </m:r>
                  <m:sSup>
                    <m:sSupPr>
                      <m:ctrlPr>
                        <w:rPr>
                          <w:rFonts w:ascii="Cambria Math" w:hAnsi="Cambria Math"/>
                          <w:i/>
                          <w:iCs/>
                          <w:lang w:val="en-US"/>
                        </w:rPr>
                      </m:ctrlPr>
                    </m:sSupPr>
                    <m:e>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θ-90</m:t>
                              </m:r>
                            </m:num>
                            <m:den>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3dB</m:t>
                                  </m:r>
                                </m:sub>
                              </m:sSub>
                            </m:den>
                          </m:f>
                        </m:e>
                      </m:d>
                    </m:e>
                    <m:sup>
                      <m:r>
                        <w:rPr>
                          <w:rFonts w:ascii="Cambria Math" w:hAnsi="Cambria Math"/>
                          <w:lang w:val="en-US"/>
                        </w:rPr>
                        <m:t>2</m:t>
                      </m:r>
                    </m:sup>
                  </m:sSup>
                  <m:r>
                    <w:rPr>
                      <w:rFonts w:ascii="Cambria Math" w:hAnsi="Cambria Math"/>
                      <w:lang w:val="en-US"/>
                    </w:rPr>
                    <m:t>,SL</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v</m:t>
                      </m:r>
                    </m:sub>
                  </m:sSub>
                  <m:r>
                    <w:rPr>
                      <w:rFonts w:ascii="Cambria Math" w:hAnsi="Cambria Math"/>
                      <w:lang w:val="en-US"/>
                    </w:rPr>
                    <m:t> </m:t>
                  </m:r>
                </m:e>
              </m:d>
            </m:e>
          </m:func>
        </m:oMath>
      </m:oMathPara>
    </w:p>
    <w:p w14:paraId="7C01E3CC" w14:textId="764E3BB0" w:rsidR="002E38E3" w:rsidRPr="002E38E3" w:rsidRDefault="002C3014" w:rsidP="00AC033F">
      <w:pPr>
        <w:ind w:left="720"/>
        <w:jc w:val="both"/>
        <w:rPr>
          <w:iCs/>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lang w:val="en-US"/>
                </w:rPr>
              </m:ctrlPr>
            </m:dPr>
            <m:e>
              <m:r>
                <w:rPr>
                  <w:rFonts w:ascii="Cambria Math" w:hAnsi="Cambria Math"/>
                  <w:lang w:val="en-US"/>
                </w:rPr>
                <m:t>φ,θ</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G</m:t>
              </m:r>
            </m:e>
            <m:sub>
              <m:r>
                <w:rPr>
                  <w:rFonts w:ascii="Cambria Math" w:hAnsi="Cambria Math"/>
                  <w:lang w:val="en-US"/>
                </w:rPr>
                <m:t>E,</m:t>
              </m:r>
              <m:r>
                <m:rPr>
                  <m:nor/>
                </m:rPr>
                <w:rPr>
                  <w:lang w:val="en-US"/>
                </w:rPr>
                <m:t>max</m:t>
              </m:r>
            </m:sub>
          </m:sSub>
          <m:r>
            <w:rPr>
              <w:rFonts w:ascii="Cambria Math" w:hAnsi="Cambria Math"/>
              <w:lang w:val="en-US"/>
            </w:rPr>
            <m:t>-</m:t>
          </m:r>
          <m:func>
            <m:funcPr>
              <m:ctrlPr>
                <w:rPr>
                  <w:rFonts w:ascii="Cambria Math" w:hAnsi="Cambria Math"/>
                  <w:i/>
                  <w:iCs/>
                  <w:lang w:val="en-US"/>
                </w:rPr>
              </m:ctrlPr>
            </m:funcPr>
            <m:fName>
              <m:r>
                <m:rPr>
                  <m:sty m:val="p"/>
                </m:rPr>
                <w:rPr>
                  <w:rFonts w:ascii="Cambria Math" w:hAnsi="Cambria Math"/>
                  <w:lang w:val="en-US"/>
                </w:rPr>
                <m:t>min</m:t>
              </m:r>
            </m:fName>
            <m:e>
              <m:d>
                <m:dPr>
                  <m:begChr m:val="{"/>
                  <m:endChr m:val="}"/>
                  <m:ctrlPr>
                    <w:rPr>
                      <w:rFonts w:ascii="Cambria Math" w:hAnsi="Cambria Math"/>
                      <w:i/>
                      <w:iCs/>
                      <w:lang w:val="en-US"/>
                    </w:rPr>
                  </m:ctrlPr>
                </m:dPr>
                <m:e>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E,H</m:t>
                          </m:r>
                        </m:sub>
                      </m:sSub>
                      <m:d>
                        <m:dPr>
                          <m:ctrlPr>
                            <w:rPr>
                              <w:rFonts w:ascii="Cambria Math" w:hAnsi="Cambria Math"/>
                              <w:i/>
                              <w:iCs/>
                              <w:lang w:val="en-US"/>
                            </w:rPr>
                          </m:ctrlPr>
                        </m:dPr>
                        <m:e>
                          <m:r>
                            <w:rPr>
                              <w:rFonts w:ascii="Cambria Math" w:hAnsi="Cambria Math"/>
                              <w:lang w:val="en-US"/>
                            </w:rPr>
                            <m:t>φ</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E,V</m:t>
                          </m:r>
                        </m:sub>
                      </m:sSub>
                      <m:d>
                        <m:dPr>
                          <m:ctrlPr>
                            <w:rPr>
                              <w:rFonts w:ascii="Cambria Math" w:hAnsi="Cambria Math"/>
                              <w:i/>
                              <w:iCs/>
                              <w:lang w:val="en-US"/>
                            </w:rPr>
                          </m:ctrlPr>
                        </m:dPr>
                        <m:e>
                          <m:r>
                            <w:rPr>
                              <w:rFonts w:ascii="Cambria Math" w:hAnsi="Cambria Math"/>
                              <w:lang w:val="en-US"/>
                            </w:rPr>
                            <m:t>θ</m:t>
                          </m:r>
                        </m:e>
                      </m:d>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m</m:t>
                      </m:r>
                    </m:sub>
                  </m:sSub>
                </m:e>
              </m:d>
            </m:e>
          </m:func>
        </m:oMath>
      </m:oMathPara>
    </w:p>
    <w:p w14:paraId="677CE859" w14:textId="7B370F7F" w:rsidR="002E38E3" w:rsidRPr="002E38E3" w:rsidRDefault="002E38E3" w:rsidP="00AC033F">
      <w:pPr>
        <w:jc w:val="both"/>
        <w:rPr>
          <w:lang w:val="en-US"/>
        </w:rPr>
      </w:pPr>
      <w:r>
        <w:rPr>
          <w:lang w:val="en-US"/>
        </w:rPr>
        <w:t xml:space="preserve">For beam </w:t>
      </w:r>
      <w:r w:rsidR="00866B8A">
        <w:rPr>
          <w:i/>
          <w:lang w:val="en-US"/>
        </w:rPr>
        <w:t xml:space="preserve">i, </w:t>
      </w:r>
      <w:r>
        <w:rPr>
          <w:lang w:val="en-US"/>
        </w:rPr>
        <w:t>the beamforming gain</w:t>
      </w:r>
      <w:r w:rsidR="00866B8A">
        <w:rPr>
          <w:lang w:val="en-US"/>
        </w:rPr>
        <w:t xml:space="preserve"> (in dB)</w:t>
      </w:r>
      <w:r>
        <w:rPr>
          <w:lang w:val="en-US"/>
        </w:rPr>
        <w:t xml:space="preserve"> is computed as</w:t>
      </w:r>
      <w:r>
        <w:rPr>
          <w:i/>
          <w:lang w:val="en-US"/>
        </w:rPr>
        <w:t xml:space="preserve"> </w:t>
      </w:r>
    </w:p>
    <w:p w14:paraId="71290ED9" w14:textId="554C8291" w:rsidR="002E38E3" w:rsidRPr="002E38E3" w:rsidRDefault="002C3014" w:rsidP="00AC033F">
      <w:pPr>
        <w:ind w:left="720"/>
        <w:jc w:val="both"/>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BF,i</m:t>
              </m:r>
            </m:sub>
          </m:sSub>
          <m:d>
            <m:dPr>
              <m:ctrlPr>
                <w:rPr>
                  <w:rFonts w:ascii="Cambria Math" w:hAnsi="Cambria Math"/>
                  <w:i/>
                  <w:iCs/>
                  <w:lang w:val="en-US"/>
                </w:rPr>
              </m:ctrlPr>
            </m:dPr>
            <m:e>
              <m:r>
                <w:rPr>
                  <w:rFonts w:ascii="Cambria Math" w:hAnsi="Cambria Math"/>
                  <w:lang w:val="en-US"/>
                </w:rPr>
                <m:t>φ,θ</m:t>
              </m:r>
            </m:e>
          </m:d>
          <m:r>
            <w:rPr>
              <w:rFonts w:ascii="Cambria Math" w:hAnsi="Cambria Math"/>
              <w:lang w:val="en-US"/>
            </w:rPr>
            <m:t>= 10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iCs/>
                      <w:lang w:val="en-US"/>
                    </w:rPr>
                  </m:ctrlPr>
                </m:dPr>
                <m:e>
                  <m:sSup>
                    <m:sSupPr>
                      <m:ctrlPr>
                        <w:rPr>
                          <w:rFonts w:ascii="Cambria Math" w:hAnsi="Cambria Math"/>
                          <w:i/>
                          <w:iCs/>
                          <w:lang w:val="en-US"/>
                        </w:rPr>
                      </m:ctrlPr>
                    </m:sSupPr>
                    <m:e>
                      <m:d>
                        <m:dPr>
                          <m:begChr m:val="|"/>
                          <m:endChr m:val="|"/>
                          <m:ctrlPr>
                            <w:rPr>
                              <w:rFonts w:ascii="Cambria Math" w:hAnsi="Cambria Math"/>
                              <w:i/>
                              <w:iCs/>
                              <w:lang w:val="en-US"/>
                            </w:rPr>
                          </m:ctrlPr>
                        </m:dPr>
                        <m:e>
                          <m:nary>
                            <m:naryPr>
                              <m:chr m:val="∑"/>
                              <m:limLoc m:val="undOvr"/>
                              <m:ctrlPr>
                                <w:rPr>
                                  <w:rFonts w:ascii="Cambria Math" w:hAnsi="Cambria Math"/>
                                  <w:i/>
                                  <w:iCs/>
                                  <w:lang w:val="en-US"/>
                                </w:rPr>
                              </m:ctrlPr>
                            </m:naryPr>
                            <m:sub>
                              <m:r>
                                <w:rPr>
                                  <w:rFonts w:ascii="Cambria Math" w:hAnsi="Cambria Math"/>
                                  <w:lang w:val="en-US"/>
                                </w:rPr>
                                <m:t>m=1</m:t>
                              </m:r>
                            </m:sub>
                            <m:sup>
                              <m:r>
                                <w:rPr>
                                  <w:rFonts w:ascii="Cambria Math" w:hAnsi="Cambria Math"/>
                                  <w:lang w:val="en-US"/>
                                </w:rPr>
                                <m:t>M</m:t>
                              </m:r>
                            </m:sup>
                            <m:e>
                              <m:nary>
                                <m:naryPr>
                                  <m:chr m:val="∑"/>
                                  <m:limLoc m:val="undOvr"/>
                                  <m:ctrlPr>
                                    <w:rPr>
                                      <w:rFonts w:ascii="Cambria Math" w:hAnsi="Cambria Math"/>
                                      <w:i/>
                                      <w:iCs/>
                                      <w:lang w:val="en-US"/>
                                    </w:rPr>
                                  </m:ctrlPr>
                                </m:naryPr>
                                <m:sub>
                                  <m:r>
                                    <w:rPr>
                                      <w:rFonts w:ascii="Cambria Math" w:hAnsi="Cambria Math"/>
                                      <w:lang w:val="en-US"/>
                                    </w:rPr>
                                    <m:t>n=1</m:t>
                                  </m:r>
                                </m:sub>
                                <m:sup>
                                  <m:r>
                                    <w:rPr>
                                      <w:rFonts w:ascii="Cambria Math" w:hAnsi="Cambria Math"/>
                                      <w:lang w:val="en-US"/>
                                    </w:rPr>
                                    <m:t>N</m:t>
                                  </m:r>
                                </m:sup>
                                <m:e>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i,n,m</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m:t>
                                      </m:r>
                                    </m:sub>
                                  </m:sSub>
                                </m:e>
                              </m:nary>
                            </m:e>
                          </m:nary>
                        </m:e>
                      </m:d>
                    </m:e>
                    <m:sup>
                      <m:r>
                        <w:rPr>
                          <w:rFonts w:ascii="Cambria Math" w:hAnsi="Cambria Math"/>
                          <w:lang w:val="en-US"/>
                        </w:rPr>
                        <m:t>2</m:t>
                      </m:r>
                    </m:sup>
                  </m:sSup>
                </m:e>
              </m:d>
            </m:e>
          </m:func>
        </m:oMath>
      </m:oMathPara>
    </w:p>
    <w:p w14:paraId="4F2B93EA" w14:textId="4CAAA562" w:rsidR="002E38E3" w:rsidRPr="002E38E3" w:rsidRDefault="00866B8A" w:rsidP="00AC033F">
      <w:pPr>
        <w:jc w:val="both"/>
        <w:rPr>
          <w:lang w:val="en-US"/>
        </w:rPr>
      </w:pPr>
      <w:r>
        <w:rPr>
          <w:lang w:val="en-US"/>
        </w:rPr>
        <w:t>w</w:t>
      </w:r>
      <w:r w:rsidR="002E38E3" w:rsidRPr="002E38E3">
        <w:rPr>
          <w:lang w:val="en-US"/>
        </w:rPr>
        <w:t xml:space="preserve">here the superposition vector is given by </w:t>
      </w:r>
    </w:p>
    <w:p w14:paraId="55D6663A" w14:textId="542FA7FD" w:rsidR="002E38E3" w:rsidRPr="002E38E3" w:rsidRDefault="002C3014" w:rsidP="00AC033F">
      <w:pPr>
        <w:ind w:left="720"/>
        <w:jc w:val="both"/>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n,m</m:t>
              </m:r>
            </m:sub>
          </m:sSub>
          <m:r>
            <w:rPr>
              <w:rFonts w:ascii="Cambria Math" w:hAnsi="Cambria Math"/>
              <w:lang w:val="en-US"/>
            </w:rPr>
            <m:t>=</m:t>
          </m:r>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j2π</m:t>
              </m:r>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n-1</m:t>
                      </m:r>
                    </m:e>
                  </m:d>
                  <m:r>
                    <w:rPr>
                      <w:rFonts w:ascii="Cambria Math" w:hAnsi="Cambria Math"/>
                      <w:lang w:val="en-US"/>
                    </w:rPr>
                    <m:t> </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v</m:t>
                          </m:r>
                        </m:sub>
                      </m:sSub>
                    </m:num>
                    <m:den>
                      <m:r>
                        <w:rPr>
                          <w:rFonts w:ascii="Cambria Math" w:hAnsi="Cambria Math"/>
                          <w:lang w:val="en-US"/>
                        </w:rPr>
                        <m:t>λ</m:t>
                      </m:r>
                    </m:den>
                  </m:f>
                  <m:r>
                    <w:rPr>
                      <w:rFonts w:ascii="Cambria Math" w:hAnsi="Cambria Math"/>
                      <w:lang w:val="en-US"/>
                    </w:rPr>
                    <m:t> </m:t>
                  </m:r>
                  <m:func>
                    <m:funcPr>
                      <m:ctrlPr>
                        <w:rPr>
                          <w:rFonts w:ascii="Cambria Math" w:hAnsi="Cambria Math"/>
                          <w:i/>
                          <w:iCs/>
                          <w:lang w:val="en-US"/>
                        </w:rPr>
                      </m:ctrlPr>
                    </m:funcPr>
                    <m:fName>
                      <m:r>
                        <m:rPr>
                          <m:sty m:val="p"/>
                        </m:rPr>
                        <w:rPr>
                          <w:rFonts w:ascii="Cambria Math" w:hAnsi="Cambria Math"/>
                          <w:lang w:val="en-US"/>
                        </w:rPr>
                        <m:t>cos</m:t>
                      </m:r>
                    </m:fName>
                    <m:e>
                      <m:d>
                        <m:dPr>
                          <m:ctrlPr>
                            <w:rPr>
                              <w:rFonts w:ascii="Cambria Math" w:hAnsi="Cambria Math"/>
                              <w:i/>
                              <w:iCs/>
                              <w:lang w:val="en-US"/>
                            </w:rPr>
                          </m:ctrlPr>
                        </m:dPr>
                        <m:e>
                          <m:r>
                            <w:rPr>
                              <w:rFonts w:ascii="Cambria Math" w:hAnsi="Cambria Math"/>
                              <w:lang w:val="en-US"/>
                            </w:rPr>
                            <m:t>θ</m:t>
                          </m:r>
                        </m:e>
                      </m:d>
                    </m:e>
                  </m:func>
                  <m:r>
                    <w:rPr>
                      <w:rFonts w:ascii="Cambria Math" w:hAnsi="Cambria Math"/>
                      <w:lang w:val="en-US"/>
                    </w:rPr>
                    <m:t>+(m-1)</m:t>
                  </m:r>
                  <m:func>
                    <m:funcPr>
                      <m:ctrlPr>
                        <w:rPr>
                          <w:rFonts w:ascii="Cambria Math" w:hAnsi="Cambria Math"/>
                          <w:i/>
                          <w:iCs/>
                          <w:lang w:val="en-US"/>
                        </w:rPr>
                      </m:ctrlPr>
                    </m:funcPr>
                    <m:fNa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h</m:t>
                              </m:r>
                            </m:sub>
                          </m:sSub>
                        </m:num>
                        <m:den>
                          <m:r>
                            <w:rPr>
                              <w:rFonts w:ascii="Cambria Math" w:hAnsi="Cambria Math"/>
                              <w:lang w:val="en-US"/>
                            </w:rPr>
                            <m:t>λ</m:t>
                          </m:r>
                        </m:den>
                      </m:f>
                      <m:r>
                        <m:rPr>
                          <m:sty m:val="p"/>
                        </m:rPr>
                        <w:rPr>
                          <w:rFonts w:ascii="Cambria Math" w:hAnsi="Cambria Math"/>
                          <w:lang w:val="en-US"/>
                        </w:rPr>
                        <m:t> sin</m:t>
                      </m:r>
                    </m:fName>
                    <m:e>
                      <m:d>
                        <m:dPr>
                          <m:ctrlPr>
                            <w:rPr>
                              <w:rFonts w:ascii="Cambria Math" w:hAnsi="Cambria Math"/>
                              <w:i/>
                              <w:iCs/>
                              <w:lang w:val="en-US"/>
                            </w:rPr>
                          </m:ctrlPr>
                        </m:dPr>
                        <m:e>
                          <m:r>
                            <w:rPr>
                              <w:rFonts w:ascii="Cambria Math" w:hAnsi="Cambria Math"/>
                              <w:lang w:val="en-US"/>
                            </w:rPr>
                            <m:t>θ</m:t>
                          </m:r>
                        </m:e>
                      </m:d>
                      <m:r>
                        <m:rPr>
                          <m:sty m:val="p"/>
                        </m:rPr>
                        <w:rPr>
                          <w:rFonts w:ascii="Cambria Math" w:hAnsi="Cambria Math"/>
                          <w:lang w:val="en-US"/>
                        </w:rPr>
                        <m:t>sin</m:t>
                      </m:r>
                      <m:r>
                        <w:rPr>
                          <w:rFonts w:ascii="Cambria Math" w:hAnsi="Cambria Math"/>
                          <w:lang w:val="en-US"/>
                        </w:rPr>
                        <m:t>(φ)</m:t>
                      </m:r>
                    </m:e>
                  </m:func>
                </m:e>
              </m:d>
              <m:r>
                <w:rPr>
                  <w:rFonts w:ascii="Cambria Math" w:hAnsi="Cambria Math"/>
                  <w:lang w:val="en-US"/>
                </w:rPr>
                <m:t> </m:t>
              </m:r>
            </m:sup>
          </m:sSup>
        </m:oMath>
      </m:oMathPara>
    </w:p>
    <w:p w14:paraId="1D1CA054" w14:textId="434C7186" w:rsidR="002E38E3" w:rsidRPr="002E38E3" w:rsidRDefault="00866B8A" w:rsidP="00AC033F">
      <w:pPr>
        <w:jc w:val="both"/>
        <w:rPr>
          <w:lang w:val="en-US"/>
        </w:rPr>
      </w:pPr>
      <w:r>
        <w:rPr>
          <w:lang w:val="en-US"/>
        </w:rPr>
        <w:t>a</w:t>
      </w:r>
      <w:r w:rsidR="002E38E3" w:rsidRPr="002E38E3">
        <w:rPr>
          <w:lang w:val="en-US"/>
        </w:rPr>
        <w:t xml:space="preserve">nd the weighting factor is given by </w:t>
      </w:r>
    </w:p>
    <w:p w14:paraId="29BFCC1C" w14:textId="49BE082A" w:rsidR="002E38E3" w:rsidRDefault="002C3014" w:rsidP="00AC033F">
      <w:pPr>
        <w:jc w:val="both"/>
        <w:rPr>
          <w:lang w:val="en-US"/>
        </w:rPr>
      </w:pPr>
      <m:oMathPara>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i,n,m</m:t>
              </m:r>
            </m:sub>
          </m:sSub>
          <m:r>
            <w:rPr>
              <w:rFonts w:ascii="Cambria Math" w:hAnsi="Cambria Math"/>
              <w:lang w:val="en-US"/>
            </w:rPr>
            <m:t>=</m:t>
          </m:r>
          <m:sSup>
            <m:sSupPr>
              <m:ctrlPr>
                <w:rPr>
                  <w:rFonts w:ascii="Cambria Math" w:hAnsi="Cambria Math"/>
                  <w:i/>
                  <w:iCs/>
                  <w:lang w:val="en-US"/>
                </w:rPr>
              </m:ctrlPr>
            </m:sSupPr>
            <m:e>
              <m:f>
                <m:fPr>
                  <m:ctrlPr>
                    <w:rPr>
                      <w:rFonts w:ascii="Cambria Math" w:hAnsi="Cambria Math"/>
                      <w:i/>
                      <w:iCs/>
                      <w:lang w:val="en-US"/>
                    </w:rPr>
                  </m:ctrlPr>
                </m:fPr>
                <m:num>
                  <m:r>
                    <w:rPr>
                      <w:rFonts w:ascii="Cambria Math" w:hAnsi="Cambria Math"/>
                      <w:lang w:val="en-US"/>
                    </w:rPr>
                    <m:t>1</m:t>
                  </m:r>
                </m:num>
                <m:den>
                  <m:rad>
                    <m:radPr>
                      <m:degHide m:val="1"/>
                      <m:ctrlPr>
                        <w:rPr>
                          <w:rFonts w:ascii="Cambria Math" w:hAnsi="Cambria Math"/>
                          <w:i/>
                          <w:iCs/>
                          <w:lang w:val="en-US"/>
                        </w:rPr>
                      </m:ctrlPr>
                    </m:radPr>
                    <m:deg/>
                    <m:e>
                      <m:r>
                        <w:rPr>
                          <w:rFonts w:ascii="Cambria Math" w:hAnsi="Cambria Math"/>
                          <w:lang w:val="en-US"/>
                        </w:rPr>
                        <m:t>MN</m:t>
                      </m:r>
                    </m:e>
                  </m:rad>
                </m:den>
              </m:f>
              <m:r>
                <w:rPr>
                  <w:rFonts w:ascii="Cambria Math" w:hAnsi="Cambria Math"/>
                  <w:lang w:val="en-US"/>
                </w:rPr>
                <m:t>e</m:t>
              </m:r>
            </m:e>
            <m:sup>
              <m:r>
                <w:rPr>
                  <w:rFonts w:ascii="Cambria Math" w:hAnsi="Cambria Math"/>
                  <w:lang w:val="en-US"/>
                </w:rPr>
                <m:t>-j2π</m:t>
              </m:r>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n-1</m:t>
                      </m:r>
                    </m:e>
                  </m:d>
                  <m:r>
                    <w:rPr>
                      <w:rFonts w:ascii="Cambria Math" w:hAnsi="Cambria Math"/>
                      <w:lang w:val="en-US"/>
                    </w:rPr>
                    <m:t> </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v</m:t>
                          </m:r>
                        </m:sub>
                      </m:sSub>
                    </m:num>
                    <m:den>
                      <m:r>
                        <w:rPr>
                          <w:rFonts w:ascii="Cambria Math" w:hAnsi="Cambria Math"/>
                          <w:lang w:val="en-US"/>
                        </w:rPr>
                        <m:t>λ</m:t>
                      </m:r>
                    </m:den>
                  </m:f>
                  <m:r>
                    <w:rPr>
                      <w:rFonts w:ascii="Cambria Math" w:hAnsi="Cambria Math"/>
                      <w:lang w:val="en-US"/>
                    </w:rPr>
                    <m:t> </m:t>
                  </m:r>
                  <m:func>
                    <m:funcPr>
                      <m:ctrlPr>
                        <w:rPr>
                          <w:rFonts w:ascii="Cambria Math" w:hAnsi="Cambria Math"/>
                          <w:i/>
                          <w:iCs/>
                          <w:lang w:val="en-US"/>
                        </w:rPr>
                      </m:ctrlPr>
                    </m:funcPr>
                    <m:fName>
                      <m:r>
                        <m:rPr>
                          <m:sty m:val="p"/>
                        </m:rPr>
                        <w:rPr>
                          <w:rFonts w:ascii="Cambria Math" w:hAnsi="Cambria Math"/>
                          <w:lang w:val="en-US"/>
                        </w:rPr>
                        <m:t>cos</m:t>
                      </m:r>
                    </m:fName>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i,target</m:t>
                              </m:r>
                            </m:sub>
                          </m:sSub>
                        </m:e>
                      </m:d>
                    </m:e>
                  </m:func>
                  <m:r>
                    <w:rPr>
                      <w:rFonts w:ascii="Cambria Math" w:hAnsi="Cambria Math"/>
                      <w:lang w:val="en-US"/>
                    </w:rPr>
                    <m:t>+(m-1)</m:t>
                  </m:r>
                  <m:func>
                    <m:funcPr>
                      <m:ctrlPr>
                        <w:rPr>
                          <w:rFonts w:ascii="Cambria Math" w:hAnsi="Cambria Math"/>
                          <w:i/>
                          <w:iCs/>
                          <w:lang w:val="en-US"/>
                        </w:rPr>
                      </m:ctrlPr>
                    </m:funcPr>
                    <m:fName>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h</m:t>
                              </m:r>
                            </m:sub>
                          </m:sSub>
                        </m:num>
                        <m:den>
                          <m:r>
                            <w:rPr>
                              <w:rFonts w:ascii="Cambria Math" w:hAnsi="Cambria Math"/>
                              <w:lang w:val="en-US"/>
                            </w:rPr>
                            <m:t>λ</m:t>
                          </m:r>
                        </m:den>
                      </m:f>
                      <m:r>
                        <m:rPr>
                          <m:sty m:val="p"/>
                        </m:rPr>
                        <w:rPr>
                          <w:rFonts w:ascii="Cambria Math" w:hAnsi="Cambria Math"/>
                          <w:lang w:val="en-US"/>
                        </w:rPr>
                        <m:t> sin</m:t>
                      </m:r>
                    </m:fName>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i,target</m:t>
                              </m:r>
                            </m:sub>
                          </m:sSub>
                        </m:e>
                      </m:d>
                      <m:r>
                        <m:rPr>
                          <m:sty m:val="p"/>
                        </m:rPr>
                        <w:rPr>
                          <w:rFonts w:ascii="Cambria Math" w:hAnsi="Cambria Math"/>
                          <w:lang w:val="en-US"/>
                        </w:rPr>
                        <m:t>sin</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i,target</m:t>
                          </m:r>
                        </m:sub>
                      </m:sSub>
                      <m:r>
                        <w:rPr>
                          <w:rFonts w:ascii="Cambria Math" w:hAnsi="Cambria Math"/>
                          <w:lang w:val="en-US"/>
                        </w:rPr>
                        <m:t>)</m:t>
                      </m:r>
                    </m:e>
                  </m:func>
                </m:e>
              </m:d>
              <m:r>
                <w:rPr>
                  <w:rFonts w:ascii="Cambria Math" w:hAnsi="Cambria Math"/>
                  <w:lang w:val="en-US"/>
                </w:rPr>
                <m:t> </m:t>
              </m:r>
            </m:sup>
          </m:sSup>
        </m:oMath>
      </m:oMathPara>
    </w:p>
    <w:p w14:paraId="5296B4B6" w14:textId="1A4C089B" w:rsidR="00464E3D" w:rsidRDefault="0030471B" w:rsidP="00AC033F">
      <w:pPr>
        <w:jc w:val="both"/>
        <w:rPr>
          <w:lang w:val="en-US"/>
        </w:rPr>
      </w:pPr>
      <w:r>
        <w:rPr>
          <w:lang w:val="en-US"/>
        </w:rPr>
        <w:t>Note that the above formulation corresponds to a URPA with elements belonging to the Y-Z plane in a Cartesian coordinate system</w:t>
      </w:r>
      <w:r w:rsidR="00464E3D">
        <w:rPr>
          <w:lang w:val="en-US"/>
        </w:rPr>
        <w:t xml:space="preserve"> (see </w:t>
      </w:r>
      <w:r w:rsidR="00464E3D">
        <w:rPr>
          <w:lang w:val="en-US"/>
        </w:rPr>
        <w:fldChar w:fldCharType="begin"/>
      </w:r>
      <w:r w:rsidR="00464E3D">
        <w:rPr>
          <w:lang w:val="en-US"/>
        </w:rPr>
        <w:instrText xml:space="preserve"> REF _Ref458444297 \h </w:instrText>
      </w:r>
      <w:r w:rsidR="00464E3D">
        <w:rPr>
          <w:lang w:val="en-US"/>
        </w:rPr>
      </w:r>
      <w:r w:rsidR="00464E3D">
        <w:rPr>
          <w:lang w:val="en-US"/>
        </w:rPr>
        <w:fldChar w:fldCharType="separate"/>
      </w:r>
      <w:r w:rsidR="00573164">
        <w:t xml:space="preserve">Figure </w:t>
      </w:r>
      <w:r w:rsidR="00573164">
        <w:rPr>
          <w:noProof/>
        </w:rPr>
        <w:t>2</w:t>
      </w:r>
      <w:r w:rsidR="00AD5FEF">
        <w:rPr>
          <w:noProof/>
        </w:rPr>
        <w:t>)</w:t>
      </w:r>
      <w:r w:rsidR="00573164">
        <w:t>. Distribution of antenna elements in a Cartesian coordinate system.</w:t>
      </w:r>
      <w:r w:rsidR="00464E3D">
        <w:rPr>
          <w:lang w:val="en-US"/>
        </w:rPr>
        <w:fldChar w:fldCharType="end"/>
      </w:r>
      <w:r w:rsidR="005C7DA8">
        <w:rPr>
          <w:lang w:val="en-US"/>
        </w:rPr>
        <w:t xml:space="preserve"> </w:t>
      </w:r>
      <w:r w:rsidR="00464E3D">
        <w:rPr>
          <w:lang w:val="en-US"/>
        </w:rPr>
        <w:fldChar w:fldCharType="begin"/>
      </w:r>
      <w:r w:rsidR="00464E3D">
        <w:rPr>
          <w:lang w:val="en-US"/>
        </w:rPr>
        <w:instrText xml:space="preserve"> REF _Ref458444301 \h </w:instrText>
      </w:r>
      <w:r w:rsidR="00464E3D">
        <w:rPr>
          <w:lang w:val="en-US"/>
        </w:rPr>
      </w:r>
      <w:r w:rsidR="00464E3D">
        <w:rPr>
          <w:lang w:val="en-US"/>
        </w:rPr>
        <w:fldChar w:fldCharType="separate"/>
      </w:r>
      <w:r w:rsidR="00573164">
        <w:t xml:space="preserve">Figure </w:t>
      </w:r>
      <w:r w:rsidR="00573164">
        <w:rPr>
          <w:noProof/>
        </w:rPr>
        <w:t>2</w:t>
      </w:r>
      <w:r w:rsidR="00464E3D">
        <w:rPr>
          <w:lang w:val="en-US"/>
        </w:rPr>
        <w:fldChar w:fldCharType="end"/>
      </w:r>
      <w:r w:rsidR="00464E3D">
        <w:rPr>
          <w:lang w:val="en-US"/>
        </w:rPr>
        <w:t>)</w:t>
      </w:r>
      <w:r>
        <w:rPr>
          <w:lang w:val="en-US"/>
        </w:rPr>
        <w:t xml:space="preserve">. </w:t>
      </w:r>
    </w:p>
    <w:p w14:paraId="6FD701C7" w14:textId="77777777" w:rsidR="00464E3D" w:rsidRDefault="00464E3D" w:rsidP="00464E3D">
      <w:pPr>
        <w:keepNext/>
        <w:jc w:val="center"/>
      </w:pPr>
      <w:r>
        <w:rPr>
          <w:noProof/>
          <w:lang w:val="en-US"/>
        </w:rPr>
        <w:drawing>
          <wp:inline distT="0" distB="0" distL="0" distR="0" wp14:anchorId="26F85B95" wp14:editId="4D48190E">
            <wp:extent cx="2788920" cy="271334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3851" cy="2718137"/>
                    </a:xfrm>
                    <a:prstGeom prst="rect">
                      <a:avLst/>
                    </a:prstGeom>
                  </pic:spPr>
                </pic:pic>
              </a:graphicData>
            </a:graphic>
          </wp:inline>
        </w:drawing>
      </w:r>
    </w:p>
    <w:p w14:paraId="53C4491E" w14:textId="13C41D4A" w:rsidR="00464E3D" w:rsidRDefault="00464E3D" w:rsidP="00464E3D">
      <w:pPr>
        <w:pStyle w:val="Caption"/>
        <w:jc w:val="center"/>
        <w:rPr>
          <w:lang w:val="en-US"/>
        </w:rPr>
      </w:pPr>
      <w:bookmarkStart w:id="1" w:name="_Ref458444301"/>
      <w:bookmarkStart w:id="2" w:name="_Ref458444297"/>
      <w:r>
        <w:t xml:space="preserve">Figure </w:t>
      </w:r>
      <w:r>
        <w:fldChar w:fldCharType="begin"/>
      </w:r>
      <w:r>
        <w:instrText xml:space="preserve"> SEQ Figure \* ARABIC </w:instrText>
      </w:r>
      <w:r>
        <w:fldChar w:fldCharType="separate"/>
      </w:r>
      <w:r w:rsidR="00573164">
        <w:rPr>
          <w:noProof/>
        </w:rPr>
        <w:t>2</w:t>
      </w:r>
      <w:r>
        <w:fldChar w:fldCharType="end"/>
      </w:r>
      <w:bookmarkEnd w:id="1"/>
      <w:r>
        <w:t>. Distribution of antenna elements in a Cartesian coordinate system.</w:t>
      </w:r>
      <w:bookmarkEnd w:id="2"/>
    </w:p>
    <w:p w14:paraId="6615BE77" w14:textId="7E1C602D" w:rsidR="0030471B" w:rsidRDefault="0030471B" w:rsidP="00AC033F">
      <w:pPr>
        <w:jc w:val="both"/>
        <w:rPr>
          <w:lang w:val="en-US"/>
        </w:rPr>
      </w:pPr>
      <w:r>
        <w:rPr>
          <w:lang w:val="en-US"/>
        </w:rPr>
        <w:t>In this case the broadside direction corresponds to the x</w:t>
      </w:r>
      <w:r w:rsidR="005C7DA8">
        <w:rPr>
          <w:lang w:val="en-US"/>
        </w:rPr>
        <w:t>-axis</w:t>
      </w:r>
      <w:r>
        <w:rPr>
          <w:lang w:val="en-US"/>
        </w:rPr>
        <w:t xml:space="preserve"> direction</w:t>
      </w:r>
      <w:r w:rsidR="00464E3D">
        <w:rPr>
          <w:lang w:val="en-US"/>
        </w:rPr>
        <w:t>.</w:t>
      </w:r>
      <w:r>
        <w:rPr>
          <w:lang w:val="en-US"/>
        </w:rPr>
        <w:t xml:space="preserve"> </w:t>
      </w:r>
    </w:p>
    <w:p w14:paraId="706947FE" w14:textId="74FFEC1B" w:rsidR="008C4DC0" w:rsidRDefault="008C4DC0" w:rsidP="00AC033F">
      <w:pPr>
        <w:jc w:val="both"/>
        <w:rPr>
          <w:lang w:val="en-US"/>
        </w:rPr>
      </w:pPr>
      <w:r>
        <w:rPr>
          <w:lang w:val="en-US"/>
        </w:rPr>
        <w:t xml:space="preserve">In the following we will assume that one beam per snapshot is generated. Note that this assumption is adopted to simplify the methodology description, however multiple beams can be generated depending on the RAN4 agreements. Regarding </w:t>
      </w:r>
      <w:r>
        <w:rPr>
          <w:lang w:val="en-US"/>
        </w:rPr>
        <w:lastRenderedPageBreak/>
        <w:t xml:space="preserve">the number of UEs supported per beam we will assume one UE is assigned to each beam. We believe that this is a reasonable assumption for the purpose of adjacent channel interference (ACI) evaluation. Also, depending on the specific scenario, associating one UE per beam and then TDM several UEs could be the best choice since </w:t>
      </w:r>
      <w:r w:rsidR="005C7DA8">
        <w:rPr>
          <w:lang w:val="en-US"/>
        </w:rPr>
        <w:t xml:space="preserve">it </w:t>
      </w:r>
      <w:r>
        <w:rPr>
          <w:lang w:val="en-US"/>
        </w:rPr>
        <w:t xml:space="preserve">will allow to maximize the available array gain. As a consequence, in the following we will assume that one beam is generated in each snapshot and one UE is associated to that beam. Another important point is to specify how the UEs are associated to each BS, especially in the case of multi-sector (e.g. 3 sectors) layout. We propose to use a </w:t>
      </w:r>
      <w:r w:rsidR="005C7DA8">
        <w:rPr>
          <w:lang w:val="en-US"/>
        </w:rPr>
        <w:t xml:space="preserve">simulation </w:t>
      </w:r>
      <w:r>
        <w:rPr>
          <w:lang w:val="en-US"/>
        </w:rPr>
        <w:t>methodology made of the following steps:</w:t>
      </w:r>
    </w:p>
    <w:p w14:paraId="421CF540" w14:textId="75CDA4B4" w:rsidR="00310840" w:rsidRPr="008C4DC0" w:rsidRDefault="00310840" w:rsidP="00AC033F">
      <w:pPr>
        <w:pStyle w:val="ListParagraph"/>
        <w:numPr>
          <w:ilvl w:val="0"/>
          <w:numId w:val="40"/>
        </w:numPr>
        <w:jc w:val="both"/>
        <w:rPr>
          <w:lang w:val="en-US"/>
        </w:rPr>
      </w:pPr>
      <w:r w:rsidRPr="008C4DC0">
        <w:rPr>
          <w:lang w:val="en-US"/>
        </w:rPr>
        <w:t>Aggressor and victim network are generated</w:t>
      </w:r>
      <w:r w:rsidR="009C10AA">
        <w:rPr>
          <w:lang w:val="en-US"/>
        </w:rPr>
        <w:t>.</w:t>
      </w:r>
    </w:p>
    <w:p w14:paraId="6BF97A1B" w14:textId="77777777" w:rsidR="00310840" w:rsidRPr="008C4DC0" w:rsidRDefault="00310840" w:rsidP="00AC033F">
      <w:pPr>
        <w:pStyle w:val="ListParagraph"/>
        <w:numPr>
          <w:ilvl w:val="0"/>
          <w:numId w:val="40"/>
        </w:numPr>
        <w:jc w:val="both"/>
        <w:rPr>
          <w:lang w:val="en-US"/>
        </w:rPr>
      </w:pPr>
      <w:r w:rsidRPr="008C4DC0">
        <w:rPr>
          <w:lang w:val="en-US"/>
        </w:rPr>
        <w:t>UE associations: UE are associated to base station based on coupling loss. In this step there are two possible alternatives:</w:t>
      </w:r>
    </w:p>
    <w:p w14:paraId="5CCE4030" w14:textId="3C185F22" w:rsidR="00310840" w:rsidRPr="008C4DC0" w:rsidRDefault="00310840" w:rsidP="00AC033F">
      <w:pPr>
        <w:pStyle w:val="ListParagraph"/>
        <w:numPr>
          <w:ilvl w:val="1"/>
          <w:numId w:val="40"/>
        </w:numPr>
        <w:jc w:val="both"/>
        <w:rPr>
          <w:lang w:val="en-US"/>
        </w:rPr>
      </w:pPr>
      <w:r w:rsidRPr="008C4DC0">
        <w:rPr>
          <w:lang w:val="en-US"/>
        </w:rPr>
        <w:t xml:space="preserve">Associations </w:t>
      </w:r>
      <w:r w:rsidR="00866B8A">
        <w:rPr>
          <w:lang w:val="en-US"/>
        </w:rPr>
        <w:t>are</w:t>
      </w:r>
      <w:r w:rsidRPr="008C4DC0">
        <w:rPr>
          <w:lang w:val="en-US"/>
        </w:rPr>
        <w:t xml:space="preserve"> made assuming </w:t>
      </w:r>
      <w:r w:rsidR="008C4DC0">
        <w:rPr>
          <w:lang w:val="en-US"/>
        </w:rPr>
        <w:t xml:space="preserve">a single element pointing to </w:t>
      </w:r>
      <w:r w:rsidRPr="008C4DC0">
        <w:rPr>
          <w:lang w:val="en-US"/>
        </w:rPr>
        <w:t>the sector direction</w:t>
      </w:r>
      <w:r w:rsidR="009C10AA">
        <w:rPr>
          <w:lang w:val="en-US"/>
        </w:rPr>
        <w:t>.</w:t>
      </w:r>
    </w:p>
    <w:p w14:paraId="6F815E4E" w14:textId="0E0665AF" w:rsidR="00310840" w:rsidRPr="008C4DC0" w:rsidRDefault="00310840" w:rsidP="00AC033F">
      <w:pPr>
        <w:pStyle w:val="ListParagraph"/>
        <w:numPr>
          <w:ilvl w:val="1"/>
          <w:numId w:val="40"/>
        </w:numPr>
        <w:jc w:val="both"/>
        <w:rPr>
          <w:lang w:val="en-US"/>
        </w:rPr>
      </w:pPr>
      <w:r w:rsidRPr="008C4DC0">
        <w:rPr>
          <w:lang w:val="en-US"/>
        </w:rPr>
        <w:t xml:space="preserve">Associations </w:t>
      </w:r>
      <w:r w:rsidR="00866B8A">
        <w:rPr>
          <w:lang w:val="en-US"/>
        </w:rPr>
        <w:t xml:space="preserve">are </w:t>
      </w:r>
      <w:r w:rsidRPr="008C4DC0">
        <w:rPr>
          <w:lang w:val="en-US"/>
        </w:rPr>
        <w:t xml:space="preserve">made assuming </w:t>
      </w:r>
      <w:r w:rsidR="008C4DC0">
        <w:rPr>
          <w:lang w:val="en-US"/>
        </w:rPr>
        <w:t xml:space="preserve">the </w:t>
      </w:r>
      <w:r w:rsidRPr="008C4DC0">
        <w:rPr>
          <w:lang w:val="en-US"/>
        </w:rPr>
        <w:t xml:space="preserve">MxN </w:t>
      </w:r>
      <w:r w:rsidR="008C4DC0">
        <w:rPr>
          <w:lang w:val="en-US"/>
        </w:rPr>
        <w:t xml:space="preserve">array </w:t>
      </w:r>
      <w:r w:rsidRPr="008C4DC0">
        <w:rPr>
          <w:lang w:val="en-US"/>
        </w:rPr>
        <w:t>pointing at the sector direction</w:t>
      </w:r>
      <w:r w:rsidR="009C10AA">
        <w:rPr>
          <w:lang w:val="en-US"/>
        </w:rPr>
        <w:t>.</w:t>
      </w:r>
    </w:p>
    <w:p w14:paraId="510BD39E" w14:textId="2677A53F" w:rsidR="00310840" w:rsidRPr="008C4DC0" w:rsidRDefault="00310840" w:rsidP="00AC033F">
      <w:pPr>
        <w:pStyle w:val="ListParagraph"/>
        <w:numPr>
          <w:ilvl w:val="0"/>
          <w:numId w:val="40"/>
        </w:numPr>
        <w:jc w:val="both"/>
        <w:rPr>
          <w:lang w:val="en-US"/>
        </w:rPr>
      </w:pPr>
      <w:r w:rsidRPr="008C4DC0">
        <w:rPr>
          <w:lang w:val="en-US"/>
        </w:rPr>
        <w:t xml:space="preserve">Once association is done, round robin scheduling is used. BF weights are adjusted to point to the LOS direction </w:t>
      </w:r>
      <w:r w:rsidR="008C4DC0">
        <w:rPr>
          <w:lang w:val="en-US"/>
        </w:rPr>
        <w:t xml:space="preserve">between </w:t>
      </w:r>
      <w:r w:rsidRPr="008C4DC0">
        <w:rPr>
          <w:lang w:val="en-US"/>
        </w:rPr>
        <w:t>BS-UE. This done for both victim and aggressor networks</w:t>
      </w:r>
      <w:r w:rsidR="009C10AA">
        <w:rPr>
          <w:lang w:val="en-US"/>
        </w:rPr>
        <w:t>.</w:t>
      </w:r>
    </w:p>
    <w:p w14:paraId="4DC222D9" w14:textId="570B1DFA" w:rsidR="00310840" w:rsidRPr="008C4DC0" w:rsidRDefault="00310840" w:rsidP="00AC033F">
      <w:pPr>
        <w:pStyle w:val="ListParagraph"/>
        <w:numPr>
          <w:ilvl w:val="0"/>
          <w:numId w:val="40"/>
        </w:numPr>
        <w:jc w:val="both"/>
        <w:rPr>
          <w:lang w:val="en-US"/>
        </w:rPr>
      </w:pPr>
      <w:r w:rsidRPr="008C4DC0">
        <w:rPr>
          <w:lang w:val="en-US"/>
        </w:rPr>
        <w:t>SINR Throughput are measured in the victim systems without considering ACI, i.e.</w:t>
      </w:r>
      <w:r w:rsidRPr="008C4DC0">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8C4DC0">
        <w:rPr>
          <w:lang w:val="en-US"/>
        </w:rPr>
        <w:t xml:space="preserve"> is the inter-cell interference</w:t>
      </w:r>
      <w:r w:rsidR="009C10AA">
        <w:rPr>
          <w:lang w:val="en-US"/>
        </w:rPr>
        <w:t>.</w:t>
      </w:r>
    </w:p>
    <w:p w14:paraId="2BBFBF7E" w14:textId="6089F395" w:rsidR="00310840" w:rsidRPr="008C4DC0" w:rsidRDefault="00310840" w:rsidP="00AC033F">
      <w:pPr>
        <w:pStyle w:val="ListParagraph"/>
        <w:numPr>
          <w:ilvl w:val="0"/>
          <w:numId w:val="40"/>
        </w:numPr>
        <w:jc w:val="both"/>
        <w:rPr>
          <w:lang w:val="en-US"/>
        </w:rPr>
      </w:pPr>
      <w:r w:rsidRPr="008C4DC0">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8C4DC0">
        <w:rPr>
          <w:lang w:val="en-US"/>
        </w:rPr>
        <w:t xml:space="preserve"> is the adjacent channel interference</w:t>
      </w:r>
      <w:r w:rsidR="009C10AA">
        <w:rPr>
          <w:lang w:val="en-US"/>
        </w:rPr>
        <w:t>.</w:t>
      </w:r>
    </w:p>
    <w:p w14:paraId="76220462" w14:textId="6E818F2F" w:rsidR="00310840" w:rsidRPr="008C4DC0" w:rsidRDefault="00310840" w:rsidP="00AC033F">
      <w:pPr>
        <w:pStyle w:val="ListParagraph"/>
        <w:numPr>
          <w:ilvl w:val="0"/>
          <w:numId w:val="40"/>
        </w:numPr>
        <w:jc w:val="both"/>
        <w:rPr>
          <w:lang w:val="en-US"/>
        </w:rPr>
      </w:pPr>
      <w:r w:rsidRPr="008C4DC0">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8C4DC0">
        <w:rPr>
          <w:lang w:val="en-US"/>
        </w:rPr>
        <w:t xml:space="preserve">. </w:t>
      </w:r>
    </w:p>
    <w:p w14:paraId="4A25DF01" w14:textId="2819E6AA" w:rsidR="00461C55" w:rsidRDefault="008C4DC0" w:rsidP="00AC033F">
      <w:pPr>
        <w:jc w:val="both"/>
        <w:rPr>
          <w:lang w:val="en-US"/>
        </w:rPr>
      </w:pPr>
      <w:r>
        <w:rPr>
          <w:lang w:val="en-US"/>
        </w:rPr>
        <w:t>The main differences compared to the classi</w:t>
      </w:r>
      <w:r w:rsidR="009C10AA">
        <w:rPr>
          <w:lang w:val="en-US"/>
        </w:rPr>
        <w:t>cal RAN4 methodology are Step 2</w:t>
      </w:r>
      <w:r>
        <w:rPr>
          <w:lang w:val="en-US"/>
        </w:rPr>
        <w:t xml:space="preserve"> and Step 3. For the association phase, to simplify the simulation process we can assume that UEs are associated based on </w:t>
      </w:r>
      <w:r w:rsidR="005C7DA8">
        <w:rPr>
          <w:lang w:val="en-US"/>
        </w:rPr>
        <w:t xml:space="preserve">BS </w:t>
      </w:r>
      <w:r>
        <w:rPr>
          <w:lang w:val="en-US"/>
        </w:rPr>
        <w:t xml:space="preserve">element gain which provides sector discrimination. Note that using 2.a or 2.b should bring very similar results. Step 3. is the most relevant phase in the simulation. In this step </w:t>
      </w:r>
      <w:r w:rsidR="00461C55">
        <w:rPr>
          <w:lang w:val="en-US"/>
        </w:rPr>
        <w:t>the beam is steered to point at the schedule</w:t>
      </w:r>
      <w:r w:rsidR="009C10AA">
        <w:rPr>
          <w:lang w:val="en-US"/>
        </w:rPr>
        <w:t>d</w:t>
      </w:r>
      <w:r w:rsidR="00461C55">
        <w:rPr>
          <w:lang w:val="en-US"/>
        </w:rPr>
        <w:t xml:space="preserve"> UEs. This means that the weighting factors are determined </w:t>
      </w:r>
      <w:r w:rsidR="00F571C1">
        <w:rPr>
          <w:lang w:val="en-US"/>
        </w:rPr>
        <w:t xml:space="preserve">by setting </w:t>
      </w: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i,target</m:t>
            </m:r>
          </m:sub>
        </m:sSub>
      </m:oMath>
      <w:r w:rsidR="00461C55">
        <w:rPr>
          <w:iCs/>
          <w:lang w:val="en-US"/>
        </w:rPr>
        <w:t xml:space="preserve"> and </w:t>
      </w:r>
      <m:oMath>
        <m:sSub>
          <m:sSubPr>
            <m:ctrlPr>
              <w:rPr>
                <w:rFonts w:ascii="Cambria Math" w:hAnsi="Cambria Math"/>
                <w:i/>
                <w:iCs/>
                <w:lang w:val="en-US"/>
              </w:rPr>
            </m:ctrlPr>
          </m:sSubPr>
          <m:e>
            <m:r>
              <w:rPr>
                <w:rFonts w:ascii="Cambria Math" w:hAnsi="Cambria Math"/>
                <w:lang w:val="en-US"/>
              </w:rPr>
              <m:t>φ</m:t>
            </m:r>
          </m:e>
          <m:sub>
            <m:r>
              <w:rPr>
                <w:rFonts w:ascii="Cambria Math" w:hAnsi="Cambria Math"/>
                <w:lang w:val="en-US"/>
              </w:rPr>
              <m:t>i,target</m:t>
            </m:r>
          </m:sub>
        </m:sSub>
      </m:oMath>
      <w:r>
        <w:rPr>
          <w:lang w:val="en-US"/>
        </w:rPr>
        <w:t xml:space="preserve"> </w:t>
      </w:r>
      <w:r w:rsidR="00F571C1">
        <w:rPr>
          <w:lang w:val="en-US"/>
        </w:rPr>
        <w:t xml:space="preserve">as the </w:t>
      </w:r>
      <w:r w:rsidR="00464E3D">
        <w:rPr>
          <w:lang w:val="en-US"/>
        </w:rPr>
        <w:t xml:space="preserve">vertical and </w:t>
      </w:r>
      <w:r w:rsidR="00F571C1">
        <w:rPr>
          <w:lang w:val="en-US"/>
        </w:rPr>
        <w:t xml:space="preserve">horizontal angle between the </w:t>
      </w:r>
      <w:r w:rsidR="00461C55">
        <w:rPr>
          <w:lang w:val="en-US"/>
        </w:rPr>
        <w:t xml:space="preserve">UE </w:t>
      </w:r>
      <w:r w:rsidR="00F571C1">
        <w:rPr>
          <w:lang w:val="en-US"/>
        </w:rPr>
        <w:t>–</w:t>
      </w:r>
      <w:r w:rsidR="00461C55">
        <w:rPr>
          <w:lang w:val="en-US"/>
        </w:rPr>
        <w:t xml:space="preserve"> BS</w:t>
      </w:r>
      <w:r w:rsidR="00F571C1">
        <w:rPr>
          <w:lang w:val="en-US"/>
        </w:rPr>
        <w:t xml:space="preserve"> LOS direction and the broadside direction</w:t>
      </w:r>
      <w:r w:rsidR="00461C55">
        <w:rPr>
          <w:lang w:val="en-US"/>
        </w:rPr>
        <w:t>. Another important factor to take into account is that Step 2 and Step 3 needs to be independently generated for victim and aggressor networks. Once beams are created in both victim and adjacent networks, cross interference is computed by considering the relative angles from aggressor BS and victim UE (in DL phase).</w:t>
      </w:r>
    </w:p>
    <w:p w14:paraId="70D1E18B" w14:textId="34FB4F31" w:rsidR="00E64A0A" w:rsidRPr="008C4DC0" w:rsidRDefault="00E64A0A" w:rsidP="00AC033F">
      <w:pPr>
        <w:jc w:val="both"/>
        <w:rPr>
          <w:lang w:val="en-US"/>
        </w:rPr>
      </w:pPr>
      <w:r>
        <w:rPr>
          <w:lang w:val="en-US"/>
        </w:rPr>
        <w:t xml:space="preserve">A pictorial representation of Step 2 and Step 3 is shown in </w:t>
      </w:r>
      <w:r>
        <w:rPr>
          <w:lang w:val="en-US"/>
        </w:rPr>
        <w:fldChar w:fldCharType="begin"/>
      </w:r>
      <w:r>
        <w:rPr>
          <w:lang w:val="en-US"/>
        </w:rPr>
        <w:instrText xml:space="preserve"> REF _Ref458436088 \h </w:instrText>
      </w:r>
      <w:r w:rsidR="005335E6">
        <w:rPr>
          <w:lang w:val="en-US"/>
        </w:rPr>
        <w:instrText xml:space="preserve"> \* MERGEFORMAT </w:instrText>
      </w:r>
      <w:r>
        <w:rPr>
          <w:lang w:val="en-US"/>
        </w:rPr>
      </w:r>
      <w:r>
        <w:rPr>
          <w:lang w:val="en-US"/>
        </w:rPr>
        <w:fldChar w:fldCharType="separate"/>
      </w:r>
      <w:r w:rsidR="00573164">
        <w:t xml:space="preserve">Figure </w:t>
      </w:r>
      <w:r w:rsidR="00573164">
        <w:rPr>
          <w:noProof/>
        </w:rPr>
        <w:t>3</w:t>
      </w:r>
      <w:r>
        <w:rPr>
          <w:lang w:val="en-US"/>
        </w:rPr>
        <w:fldChar w:fldCharType="end"/>
      </w:r>
      <w:r>
        <w:rPr>
          <w:lang w:val="en-US"/>
        </w:rPr>
        <w:t>.</w:t>
      </w:r>
      <w:r w:rsidR="00461C55">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0"/>
        <w:gridCol w:w="4811"/>
      </w:tblGrid>
      <w:tr w:rsidR="00E64A0A" w14:paraId="2D682FC9" w14:textId="77777777" w:rsidTr="00E64A0A">
        <w:trPr>
          <w:trHeight w:val="3534"/>
        </w:trPr>
        <w:tc>
          <w:tcPr>
            <w:tcW w:w="4810" w:type="dxa"/>
          </w:tcPr>
          <w:p w14:paraId="4E5650D0" w14:textId="77777777" w:rsidR="00E64A0A" w:rsidRDefault="00E64A0A" w:rsidP="00AC033F">
            <w:pPr>
              <w:keepNext/>
              <w:jc w:val="both"/>
            </w:pPr>
            <w:r w:rsidRPr="00E64A0A">
              <w:rPr>
                <w:noProof/>
                <w:lang w:val="en-US"/>
              </w:rPr>
              <w:drawing>
                <wp:inline distT="0" distB="0" distL="0" distR="0" wp14:anchorId="06B6AA83" wp14:editId="4F43BF5F">
                  <wp:extent cx="3044952" cy="2286000"/>
                  <wp:effectExtent l="0" t="0" r="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1"/>
                          <a:stretch>
                            <a:fillRect/>
                          </a:stretch>
                        </pic:blipFill>
                        <pic:spPr bwMode="auto">
                          <a:xfrm>
                            <a:off x="0" y="0"/>
                            <a:ext cx="3044952" cy="2286000"/>
                          </a:xfrm>
                          <a:prstGeom prst="rect">
                            <a:avLst/>
                          </a:prstGeom>
                          <a:noFill/>
                          <a:ln w="9525">
                            <a:noFill/>
                            <a:miter lim="800000"/>
                            <a:headEnd/>
                            <a:tailEnd/>
                          </a:ln>
                        </pic:spPr>
                      </pic:pic>
                    </a:graphicData>
                  </a:graphic>
                </wp:inline>
              </w:drawing>
            </w:r>
          </w:p>
          <w:p w14:paraId="04CB8FE4" w14:textId="009D8964" w:rsidR="00E64A0A" w:rsidRPr="00E64A0A" w:rsidRDefault="00E64A0A" w:rsidP="009B69BC">
            <w:pPr>
              <w:pStyle w:val="Caption"/>
              <w:jc w:val="center"/>
            </w:pPr>
            <w:r>
              <w:t>Step 2. UE are associated</w:t>
            </w:r>
          </w:p>
        </w:tc>
        <w:tc>
          <w:tcPr>
            <w:tcW w:w="4811" w:type="dxa"/>
          </w:tcPr>
          <w:p w14:paraId="6BA503BB" w14:textId="77777777" w:rsidR="00E64A0A" w:rsidRDefault="00E64A0A" w:rsidP="00AC033F">
            <w:pPr>
              <w:keepNext/>
              <w:jc w:val="both"/>
            </w:pPr>
            <w:r w:rsidRPr="00E64A0A">
              <w:rPr>
                <w:noProof/>
                <w:lang w:val="en-US"/>
              </w:rPr>
              <w:drawing>
                <wp:inline distT="0" distB="0" distL="0" distR="0" wp14:anchorId="57A023E5" wp14:editId="053EE01D">
                  <wp:extent cx="3044952" cy="2286000"/>
                  <wp:effectExtent l="0" t="0" r="0" b="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2"/>
                          <a:stretch>
                            <a:fillRect/>
                          </a:stretch>
                        </pic:blipFill>
                        <pic:spPr bwMode="auto">
                          <a:xfrm>
                            <a:off x="0" y="0"/>
                            <a:ext cx="3044952" cy="2286000"/>
                          </a:xfrm>
                          <a:prstGeom prst="rect">
                            <a:avLst/>
                          </a:prstGeom>
                          <a:noFill/>
                          <a:ln w="9525">
                            <a:noFill/>
                            <a:miter lim="800000"/>
                            <a:headEnd/>
                            <a:tailEnd/>
                          </a:ln>
                        </pic:spPr>
                      </pic:pic>
                    </a:graphicData>
                  </a:graphic>
                </wp:inline>
              </w:drawing>
            </w:r>
          </w:p>
          <w:p w14:paraId="105BD0DC" w14:textId="17E0CBE6" w:rsidR="00E64A0A" w:rsidRDefault="00E64A0A" w:rsidP="009B69BC">
            <w:pPr>
              <w:pStyle w:val="Caption"/>
              <w:jc w:val="center"/>
              <w:rPr>
                <w:lang w:val="en-US"/>
              </w:rPr>
            </w:pPr>
            <w:r>
              <w:t>Step 3. A beam is generated for each scheduled UE.</w:t>
            </w:r>
          </w:p>
        </w:tc>
      </w:tr>
    </w:tbl>
    <w:p w14:paraId="087B99EA" w14:textId="77092417" w:rsidR="008C4DC0" w:rsidRPr="008C4DC0" w:rsidRDefault="00E64A0A" w:rsidP="00AC033F">
      <w:pPr>
        <w:pStyle w:val="Caption"/>
        <w:jc w:val="both"/>
        <w:rPr>
          <w:lang w:val="en-US"/>
        </w:rPr>
      </w:pPr>
      <w:bookmarkStart w:id="3" w:name="_Ref458436088"/>
      <w:r>
        <w:t xml:space="preserve">Figure </w:t>
      </w:r>
      <w:r>
        <w:fldChar w:fldCharType="begin"/>
      </w:r>
      <w:r>
        <w:instrText xml:space="preserve"> SEQ Figure \* ARABIC </w:instrText>
      </w:r>
      <w:r>
        <w:fldChar w:fldCharType="separate"/>
      </w:r>
      <w:r w:rsidR="00573164">
        <w:rPr>
          <w:noProof/>
        </w:rPr>
        <w:t>3</w:t>
      </w:r>
      <w:r>
        <w:fldChar w:fldCharType="end"/>
      </w:r>
      <w:bookmarkEnd w:id="3"/>
      <w:r>
        <w:t>. Pictorial representation of Step 2. (UE association) and Step 3. (Beams creation) for 3 sectors layout.</w:t>
      </w:r>
    </w:p>
    <w:p w14:paraId="6633373E" w14:textId="5A978862" w:rsidR="00B00983" w:rsidRDefault="005335E6" w:rsidP="00AC033F">
      <w:pPr>
        <w:jc w:val="both"/>
        <w:rPr>
          <w:lang w:val="en-US"/>
        </w:rPr>
      </w:pPr>
      <w:r>
        <w:rPr>
          <w:lang w:val="en-US"/>
        </w:rPr>
        <w:t xml:space="preserve">As already mentioned, the proposed methodology has been illustrated for the case of single beam created in each snapshot. The same methodology can be adopted for the case of multiple beams depending on RAN4 agreements. In any case we propose to always schedule one UE per beam, since we believe the RF requirements should be determined </w:t>
      </w:r>
      <w:r w:rsidR="005C7DA8">
        <w:rPr>
          <w:lang w:val="en-US"/>
        </w:rPr>
        <w:t xml:space="preserve">based </w:t>
      </w:r>
      <w:r>
        <w:rPr>
          <w:lang w:val="en-US"/>
        </w:rPr>
        <w:t>on this specific scenario.</w:t>
      </w:r>
      <w:r w:rsidR="008C4DC0">
        <w:rPr>
          <w:lang w:val="en-US"/>
        </w:rPr>
        <w:t xml:space="preserve"> </w:t>
      </w:r>
    </w:p>
    <w:p w14:paraId="70B36A8F" w14:textId="2203649E" w:rsidR="0081279F" w:rsidRDefault="0081279F" w:rsidP="00AC033F">
      <w:pPr>
        <w:pStyle w:val="Heading2"/>
        <w:jc w:val="both"/>
        <w:rPr>
          <w:lang w:val="en-US"/>
        </w:rPr>
      </w:pPr>
      <w:r>
        <w:rPr>
          <w:lang w:val="en-US"/>
        </w:rPr>
        <w:lastRenderedPageBreak/>
        <w:t xml:space="preserve">ACLR/ACS modeling </w:t>
      </w:r>
    </w:p>
    <w:p w14:paraId="7CF49E73" w14:textId="468A2AAD" w:rsidR="005335E6" w:rsidRDefault="005335E6" w:rsidP="00AC033F">
      <w:pPr>
        <w:jc w:val="both"/>
        <w:rPr>
          <w:lang w:val="en-US"/>
        </w:rPr>
      </w:pPr>
      <w:r>
        <w:rPr>
          <w:lang w:val="en-US"/>
        </w:rPr>
        <w:t xml:space="preserve">Another important aspect of the simulation methodology is how to compute the leakage from adjacent channel in Step 5. Discussion about the frequency and space correlation for both ACLR and ACS already happened in RAN4 #79 </w:t>
      </w:r>
      <w:r>
        <w:rPr>
          <w:lang w:val="en-US"/>
        </w:rPr>
        <w:fldChar w:fldCharType="begin"/>
      </w:r>
      <w:r>
        <w:rPr>
          <w:lang w:val="en-US"/>
        </w:rPr>
        <w:instrText xml:space="preserve"> REF _Ref458418759 \r \h  \* MERGEFORMAT </w:instrText>
      </w:r>
      <w:r>
        <w:rPr>
          <w:lang w:val="en-US"/>
        </w:rPr>
      </w:r>
      <w:r>
        <w:rPr>
          <w:lang w:val="en-US"/>
        </w:rPr>
        <w:fldChar w:fldCharType="separate"/>
      </w:r>
      <w:r w:rsidR="00573164">
        <w:rPr>
          <w:lang w:val="en-US"/>
        </w:rPr>
        <w:t>[2]</w:t>
      </w:r>
      <w:r>
        <w:rPr>
          <w:lang w:val="en-US"/>
        </w:rPr>
        <w:fldChar w:fldCharType="end"/>
      </w:r>
      <w:r>
        <w:rPr>
          <w:lang w:val="en-US"/>
        </w:rPr>
        <w:t xml:space="preserve">. It is also worth noticing that </w:t>
      </w:r>
      <w:r w:rsidR="00E670C2">
        <w:rPr>
          <w:lang w:val="en-US"/>
        </w:rPr>
        <w:t>some analysis about the impact of ACLR correlation were already done during AAS study. The AAS study was done with specific assumptions about UE gain (0dBi omni-directional) and legacy ACS value. Since in that scenario UE ACS was dominating, the receiver imperfection was the most relevant factor of interference</w:t>
      </w:r>
      <w:r w:rsidR="00666A13">
        <w:rPr>
          <w:lang w:val="en-US"/>
        </w:rPr>
        <w:t xml:space="preserve"> and</w:t>
      </w:r>
      <w:r w:rsidR="00E670C2">
        <w:rPr>
          <w:lang w:val="en-US"/>
        </w:rPr>
        <w:t xml:space="preserve"> the spatial direction of transmitter ACLR had less impact on the overall coexistence results. </w:t>
      </w:r>
    </w:p>
    <w:p w14:paraId="279FB1EF" w14:textId="02580826" w:rsidR="00073468" w:rsidRDefault="00E670C2" w:rsidP="00AC033F">
      <w:pPr>
        <w:jc w:val="both"/>
        <w:rPr>
          <w:lang w:val="en-US"/>
        </w:rPr>
      </w:pPr>
      <w:r>
        <w:rPr>
          <w:lang w:val="en-US"/>
        </w:rPr>
        <w:t>In the NR scenarios, there are at least two aspects which need to be taken into account. Firstly, UE will have much higher directivity providing some further capability of rejecting the interference</w:t>
      </w:r>
      <w:r w:rsidR="00A75383">
        <w:rPr>
          <w:lang w:val="en-US"/>
        </w:rPr>
        <w:t xml:space="preserve"> coming from unwanted signals (both from other cells operating in the same channel and adjacent channel operators)</w:t>
      </w:r>
      <w:r>
        <w:rPr>
          <w:lang w:val="en-US"/>
        </w:rPr>
        <w:t>. Therefore</w:t>
      </w:r>
      <w:r w:rsidR="00A75383">
        <w:rPr>
          <w:lang w:val="en-US"/>
        </w:rPr>
        <w:t xml:space="preserve"> the impact of receiver imperfection </w:t>
      </w:r>
      <w:r w:rsidR="00073468">
        <w:rPr>
          <w:lang w:val="en-US"/>
        </w:rPr>
        <w:t>will</w:t>
      </w:r>
      <w:r w:rsidR="00A75383">
        <w:rPr>
          <w:lang w:val="en-US"/>
        </w:rPr>
        <w:t xml:space="preserve"> be different. </w:t>
      </w:r>
      <w:r w:rsidR="00073468">
        <w:rPr>
          <w:lang w:val="en-US"/>
        </w:rPr>
        <w:t xml:space="preserve">Also, depending on the network layout, the impact of using TRP or EIRP </w:t>
      </w:r>
      <w:r w:rsidR="005C7DA8">
        <w:rPr>
          <w:lang w:val="en-US"/>
        </w:rPr>
        <w:t xml:space="preserve">ACLR </w:t>
      </w:r>
      <w:r w:rsidR="00073468">
        <w:rPr>
          <w:lang w:val="en-US"/>
        </w:rPr>
        <w:t>could be very different, this depending on whether aggressor and victim cells are co-located or not.</w:t>
      </w:r>
    </w:p>
    <w:p w14:paraId="1623BE50" w14:textId="70D3B3FD" w:rsidR="00073468" w:rsidRDefault="00073468" w:rsidP="00AC033F">
      <w:pPr>
        <w:jc w:val="both"/>
        <w:rPr>
          <w:lang w:val="en-US"/>
        </w:rPr>
      </w:pPr>
      <w:r>
        <w:rPr>
          <w:lang w:val="en-US"/>
        </w:rPr>
        <w:t xml:space="preserve">Based on the above observations, we believe that RAN4 needs </w:t>
      </w:r>
      <w:r w:rsidR="0019625B">
        <w:rPr>
          <w:lang w:val="en-US"/>
        </w:rPr>
        <w:t xml:space="preserve">an </w:t>
      </w:r>
      <w:r>
        <w:rPr>
          <w:lang w:val="en-US"/>
        </w:rPr>
        <w:t xml:space="preserve">accurate way of modeling ACLR (and ACS). </w:t>
      </w:r>
    </w:p>
    <w:p w14:paraId="01039033" w14:textId="04DED226" w:rsidR="00310840" w:rsidRDefault="00DF4A0B" w:rsidP="00E03F2C">
      <w:pPr>
        <w:autoSpaceDE w:val="0"/>
        <w:autoSpaceDN w:val="0"/>
        <w:spacing w:after="0"/>
        <w:jc w:val="both"/>
        <w:rPr>
          <w:lang w:val="en-US"/>
        </w:rPr>
      </w:pPr>
      <w:r>
        <w:rPr>
          <w:lang w:val="en-US"/>
        </w:rPr>
        <w:t>We believe t</w:t>
      </w:r>
      <w:r w:rsidR="00073468">
        <w:rPr>
          <w:lang w:val="en-US"/>
        </w:rPr>
        <w:t xml:space="preserve">he ACLR </w:t>
      </w:r>
      <w:r>
        <w:rPr>
          <w:lang w:val="en-US"/>
        </w:rPr>
        <w:t>will</w:t>
      </w:r>
      <w:r w:rsidR="00073468">
        <w:rPr>
          <w:lang w:val="en-US"/>
        </w:rPr>
        <w:t xml:space="preserve"> be </w:t>
      </w:r>
      <w:r>
        <w:rPr>
          <w:lang w:val="en-US"/>
        </w:rPr>
        <w:t>beamformed</w:t>
      </w:r>
      <w:r w:rsidR="00073468">
        <w:rPr>
          <w:lang w:val="en-US"/>
        </w:rPr>
        <w:t xml:space="preserve"> in</w:t>
      </w:r>
      <w:r>
        <w:rPr>
          <w:lang w:val="en-US"/>
        </w:rPr>
        <w:t xml:space="preserve"> a very similar </w:t>
      </w:r>
      <w:r w:rsidR="00073468">
        <w:rPr>
          <w:lang w:val="en-US"/>
        </w:rPr>
        <w:t>w</w:t>
      </w:r>
      <w:r>
        <w:rPr>
          <w:lang w:val="en-US"/>
        </w:rPr>
        <w:t xml:space="preserve">ay as the wanted signal. Since the main contribution to ACLR is given by IM3 distortion, the main question to ask is whether the IM3 distortion from different PAs contributing to the beam generation is strongly correlated or not. If we assume </w:t>
      </w:r>
      <w:r w:rsidR="00E03F2C">
        <w:rPr>
          <w:lang w:val="en-US"/>
        </w:rPr>
        <w:t>similar</w:t>
      </w:r>
      <w:r>
        <w:rPr>
          <w:lang w:val="en-US"/>
        </w:rPr>
        <w:t xml:space="preserve"> PAs</w:t>
      </w:r>
      <w:r w:rsidR="00E03F2C">
        <w:rPr>
          <w:lang w:val="en-US"/>
        </w:rPr>
        <w:t xml:space="preserve"> </w:t>
      </w:r>
      <w:r w:rsidR="0019625B">
        <w:rPr>
          <w:lang w:val="en-US"/>
        </w:rPr>
        <w:t>are used</w:t>
      </w:r>
      <w:r w:rsidR="00115677">
        <w:rPr>
          <w:lang w:val="en-US"/>
        </w:rPr>
        <w:t xml:space="preserve"> </w:t>
      </w:r>
      <w:r w:rsidR="00E03F2C">
        <w:rPr>
          <w:lang w:val="en-US"/>
        </w:rPr>
        <w:t>(</w:t>
      </w:r>
      <w:r w:rsidR="00E03F2C">
        <w:rPr>
          <w:color w:val="000000"/>
        </w:rPr>
        <w:t>built in the same process</w:t>
      </w:r>
      <w:r w:rsidR="00E03F2C">
        <w:rPr>
          <w:lang w:val="en-US"/>
        </w:rPr>
        <w:t>)</w:t>
      </w:r>
      <w:r>
        <w:rPr>
          <w:lang w:val="en-US"/>
        </w:rPr>
        <w:t xml:space="preserve">, i.e. PA with same AM/AM and AM/PM characteristics it is natural to expect that </w:t>
      </w:r>
      <w:r w:rsidR="00310840">
        <w:rPr>
          <w:lang w:val="en-US"/>
        </w:rPr>
        <w:t>if the in-band signal is combined coherently, the IM3 distortion is also combined mostly coherently. As a consequence, we believe that the most appropriate assumption is to assume that ACLR is beamformed as the wanted signal.</w:t>
      </w:r>
    </w:p>
    <w:p w14:paraId="7330A29D" w14:textId="77777777" w:rsidR="00115677" w:rsidRDefault="00115677" w:rsidP="00E03F2C">
      <w:pPr>
        <w:autoSpaceDE w:val="0"/>
        <w:autoSpaceDN w:val="0"/>
        <w:spacing w:after="0"/>
        <w:jc w:val="both"/>
        <w:rPr>
          <w:lang w:val="en-US"/>
        </w:rPr>
      </w:pPr>
    </w:p>
    <w:p w14:paraId="1744087F" w14:textId="16735C0C" w:rsidR="00E670C2" w:rsidRDefault="00310840" w:rsidP="00AC033F">
      <w:pPr>
        <w:jc w:val="both"/>
        <w:rPr>
          <w:lang w:val="en-US"/>
        </w:rPr>
      </w:pPr>
      <w:r>
        <w:rPr>
          <w:lang w:val="en-US"/>
        </w:rPr>
        <w:t>Regarding the ACLR/ACS shape in the frequency domain, we believe that RAN4 can assume both ACLR and ACS to be flat in frequency. Whether to consider single step or multiple steps ACLR in the simulation depends on what will be the assumption of the transmission bandwidth compared to the channel bandwidth</w:t>
      </w:r>
      <w:r w:rsidR="00D0725D">
        <w:rPr>
          <w:lang w:val="en-US"/>
        </w:rPr>
        <w:t xml:space="preserve"> (BW)</w:t>
      </w:r>
      <w:r>
        <w:rPr>
          <w:lang w:val="en-US"/>
        </w:rPr>
        <w:t xml:space="preserve">. In case for UL simulation, </w:t>
      </w:r>
      <w:r w:rsidR="00F108AA">
        <w:rPr>
          <w:lang w:val="en-US"/>
        </w:rPr>
        <w:t xml:space="preserve">if </w:t>
      </w:r>
      <w:r>
        <w:rPr>
          <w:lang w:val="en-US"/>
        </w:rPr>
        <w:t xml:space="preserve">UE tx BW is much smaller than the channel BW, multiple steps in frequency can be adopted. </w:t>
      </w:r>
      <w:r w:rsidR="00DF4A0B">
        <w:rPr>
          <w:lang w:val="en-US"/>
        </w:rPr>
        <w:t xml:space="preserve"> </w:t>
      </w:r>
      <w:r w:rsidR="00E670C2">
        <w:rPr>
          <w:lang w:val="en-US"/>
        </w:rPr>
        <w:t xml:space="preserve"> </w:t>
      </w:r>
    </w:p>
    <w:p w14:paraId="29A868D6" w14:textId="0D71EE4D" w:rsidR="00461C55" w:rsidRDefault="00461C55" w:rsidP="00AC033F">
      <w:pPr>
        <w:pStyle w:val="Heading2"/>
        <w:jc w:val="both"/>
        <w:rPr>
          <w:lang w:val="en-US"/>
        </w:rPr>
      </w:pPr>
      <w:r>
        <w:rPr>
          <w:lang w:val="en-US"/>
        </w:rPr>
        <w:t>Assumptions about UE</w:t>
      </w:r>
    </w:p>
    <w:p w14:paraId="54AE1989" w14:textId="6466F404" w:rsidR="005335E6" w:rsidRDefault="00AC033F" w:rsidP="00AC033F">
      <w:pPr>
        <w:jc w:val="both"/>
        <w:rPr>
          <w:lang w:val="en-US"/>
        </w:rPr>
      </w:pPr>
      <w:r>
        <w:rPr>
          <w:lang w:val="en-US"/>
        </w:rPr>
        <w:t xml:space="preserve">An important factor which will determine the outcome of the coexistence study is the number of elements at the UE side. </w:t>
      </w:r>
      <w:r w:rsidR="00E03F2C">
        <w:rPr>
          <w:lang w:val="en-US"/>
        </w:rPr>
        <w:t>When considering the number of antenna elements to be placed at the UE side, several factors need to be take into account. First of all, it is natural that the UE form factor will impose some limitation to the maximum number of elements which can be supported. Also, different design strateg</w:t>
      </w:r>
      <w:r w:rsidR="0019625B">
        <w:rPr>
          <w:lang w:val="en-US"/>
        </w:rPr>
        <w:t>ies</w:t>
      </w:r>
      <w:r w:rsidR="00E03F2C">
        <w:rPr>
          <w:lang w:val="en-US"/>
        </w:rPr>
        <w:t xml:space="preserve"> are possible based on the specific element pattern and element locations.</w:t>
      </w:r>
    </w:p>
    <w:p w14:paraId="086C021C" w14:textId="3602E689" w:rsidR="00E03F2C" w:rsidRDefault="00E03F2C" w:rsidP="00AC033F">
      <w:pPr>
        <w:jc w:val="both"/>
        <w:rPr>
          <w:lang w:val="en-US"/>
        </w:rPr>
      </w:pPr>
      <w:r>
        <w:rPr>
          <w:lang w:val="en-US"/>
        </w:rPr>
        <w:t xml:space="preserve">In order to cover </w:t>
      </w:r>
      <w:r w:rsidR="0030471B">
        <w:rPr>
          <w:lang w:val="en-US"/>
        </w:rPr>
        <w:t>different kind of implementations and leaving enough design flexibility without sacrificing the directivity gain at the UE side, we believe that a reasonable assumption is to have a maximum number of elements equal to 16 and maximum number of elements active at the same time equal to 4.</w:t>
      </w:r>
    </w:p>
    <w:p w14:paraId="190794EE" w14:textId="22B1FBAE" w:rsidR="005335E6" w:rsidRDefault="0030471B" w:rsidP="00AC033F">
      <w:pPr>
        <w:pStyle w:val="Heading2"/>
        <w:jc w:val="both"/>
        <w:rPr>
          <w:lang w:val="en-US"/>
        </w:rPr>
      </w:pPr>
      <w:r>
        <w:rPr>
          <w:lang w:val="en-US"/>
        </w:rPr>
        <w:t xml:space="preserve">Throughput mapping and </w:t>
      </w:r>
      <w:r w:rsidR="00F571C1">
        <w:rPr>
          <w:lang w:val="en-US"/>
        </w:rPr>
        <w:t>degradation criteria</w:t>
      </w:r>
    </w:p>
    <w:p w14:paraId="09568F10" w14:textId="421DDC00" w:rsidR="00F571C1" w:rsidRDefault="00F571C1" w:rsidP="00F571C1">
      <w:pPr>
        <w:jc w:val="both"/>
      </w:pPr>
      <w:r w:rsidRPr="00314CDE">
        <w:t>In</w:t>
      </w:r>
      <w:r>
        <w:t xml:space="preserve"> the</w:t>
      </w:r>
      <w:r w:rsidRPr="00314CDE">
        <w:t xml:space="preserve"> </w:t>
      </w:r>
      <w:r>
        <w:t>LTE ACI coexistence study a very simple modelling of the Link Level performance was adopted. The model was based on a truncated and attenuated version of the Shannon’s bound, i.e.:</w:t>
      </w:r>
    </w:p>
    <w:p w14:paraId="58BAFF40" w14:textId="77777777" w:rsidR="00F571C1" w:rsidRDefault="00F571C1" w:rsidP="00F571C1">
      <w:pPr>
        <w:jc w:val="both"/>
      </w:pPr>
      <w:r>
        <w:t xml:space="preserve"> </w:t>
      </w:r>
      <m:oMath>
        <m:r>
          <m:rPr>
            <m:nor/>
          </m:rPr>
          <w:rPr>
            <w:rFonts w:ascii="Cambria Math" w:hAnsi="Cambria Math"/>
          </w:rPr>
          <m:t xml:space="preserve">Throughput [bpsHz] = </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for SINR&lt;SIN</m:t>
                      </m:r>
                      <m:sSub>
                        <m:sSubPr>
                          <m:ctrlPr>
                            <w:rPr>
                              <w:rFonts w:ascii="Cambria Math" w:hAnsi="Cambria Math"/>
                              <w:i/>
                            </w:rPr>
                          </m:ctrlPr>
                        </m:sSubPr>
                        <m:e>
                          <m:r>
                            <w:rPr>
                              <w:rFonts w:ascii="Cambria Math" w:hAnsi="Cambria Math"/>
                            </w:rPr>
                            <m:t>R</m:t>
                          </m:r>
                        </m:e>
                        <m:sub>
                          <m:r>
                            <w:rPr>
                              <w:rFonts w:ascii="Cambria Math" w:hAnsi="Cambria Math"/>
                            </w:rPr>
                            <m:t>MIN</m:t>
                          </m:r>
                        </m:sub>
                      </m:sSub>
                    </m:e>
                  </m:mr>
                </m:m>
              </m:e>
              <m:e>
                <m:m>
                  <m:mPr>
                    <m:mcs>
                      <m:mc>
                        <m:mcPr>
                          <m:count m:val="2"/>
                          <m:mcJc m:val="center"/>
                        </m:mcPr>
                      </m:mc>
                    </m:mcs>
                    <m:ctrlPr>
                      <w:rPr>
                        <w:rFonts w:ascii="Cambria Math" w:hAnsi="Cambria Math"/>
                        <w:i/>
                      </w:rPr>
                    </m:ctrlPr>
                  </m:mPr>
                  <m:mr>
                    <m:e>
                      <m:r>
                        <w:rPr>
                          <w:rFonts w:ascii="Cambria Math" w:hAnsi="Cambria Math"/>
                        </w:rPr>
                        <m:t>α×S(SINR)</m:t>
                      </m:r>
                    </m:e>
                    <m:e>
                      <m:r>
                        <w:rPr>
                          <w:rFonts w:ascii="Cambria Math" w:hAnsi="Cambria Math"/>
                        </w:rPr>
                        <m:t>for 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&lt;SINR&lt;SIN</m:t>
                      </m:r>
                      <m:sSub>
                        <m:sSubPr>
                          <m:ctrlPr>
                            <w:rPr>
                              <w:rFonts w:ascii="Cambria Math" w:hAnsi="Cambria Math"/>
                              <w:i/>
                            </w:rPr>
                          </m:ctrlPr>
                        </m:sSubPr>
                        <m:e>
                          <m:r>
                            <w:rPr>
                              <w:rFonts w:ascii="Cambria Math" w:hAnsi="Cambria Math"/>
                            </w:rPr>
                            <m:t>R</m:t>
                          </m:r>
                        </m:e>
                        <m:sub>
                          <m:r>
                            <w:rPr>
                              <w:rFonts w:ascii="Cambria Math" w:hAnsi="Cambria Math"/>
                            </w:rPr>
                            <m:t>MAX</m:t>
                          </m:r>
                        </m:sub>
                      </m:sSub>
                    </m:e>
                  </m:mr>
                </m:m>
              </m:e>
              <m:e>
                <m:m>
                  <m:mPr>
                    <m:mcs>
                      <m:mc>
                        <m:mcPr>
                          <m:count m:val="2"/>
                          <m:mcJc m:val="center"/>
                        </m:mcPr>
                      </m:mc>
                    </m:mcs>
                    <m:ctrlPr>
                      <w:rPr>
                        <w:rFonts w:ascii="Cambria Math" w:hAnsi="Cambria Math"/>
                        <w:i/>
                      </w:rPr>
                    </m:ctrlPr>
                  </m:mPr>
                  <m:mr>
                    <m:e>
                      <m:r>
                        <m:rPr>
                          <m:nor/>
                        </m:rPr>
                        <w:rPr>
                          <w:rFonts w:ascii="Cambria Math" w:hAnsi="Cambria Math"/>
                        </w:rPr>
                        <m:t>TH</m:t>
                      </m:r>
                      <m:sSub>
                        <m:sSubPr>
                          <m:ctrlPr>
                            <w:rPr>
                              <w:rFonts w:ascii="Cambria Math" w:hAnsi="Cambria Math"/>
                              <w:i/>
                            </w:rPr>
                          </m:ctrlPr>
                        </m:sSubPr>
                        <m:e>
                          <m:r>
                            <m:rPr>
                              <m:nor/>
                            </m:rPr>
                            <w:rPr>
                              <w:rFonts w:ascii="Cambria Math" w:hAnsi="Cambria Math"/>
                            </w:rPr>
                            <m:t>R</m:t>
                          </m:r>
                        </m:e>
                        <m:sub>
                          <m:r>
                            <m:rPr>
                              <m:nor/>
                            </m:rPr>
                            <w:rPr>
                              <w:rFonts w:ascii="Cambria Math" w:hAnsi="Cambria Math"/>
                            </w:rPr>
                            <m:t>MAX</m:t>
                          </m:r>
                        </m:sub>
                      </m:sSub>
                    </m:e>
                    <m:e>
                      <m:r>
                        <w:rPr>
                          <w:rFonts w:ascii="Cambria Math" w:hAnsi="Cambria Math"/>
                        </w:rPr>
                        <m:t>for SINR&gt;SIN</m:t>
                      </m:r>
                      <m:sSub>
                        <m:sSubPr>
                          <m:ctrlPr>
                            <w:rPr>
                              <w:rFonts w:ascii="Cambria Math" w:hAnsi="Cambria Math"/>
                              <w:i/>
                            </w:rPr>
                          </m:ctrlPr>
                        </m:sSubPr>
                        <m:e>
                          <m:r>
                            <w:rPr>
                              <w:rFonts w:ascii="Cambria Math" w:hAnsi="Cambria Math"/>
                            </w:rPr>
                            <m:t>R</m:t>
                          </m:r>
                        </m:e>
                        <m:sub>
                          <m:r>
                            <w:rPr>
                              <w:rFonts w:ascii="Cambria Math" w:hAnsi="Cambria Math"/>
                            </w:rPr>
                            <m:t>MAX</m:t>
                          </m:r>
                        </m:sub>
                      </m:sSub>
                    </m:e>
                  </m:mr>
                </m:m>
              </m:e>
            </m:eqArr>
          </m:e>
        </m:d>
      </m:oMath>
    </w:p>
    <w:p w14:paraId="2AF4AF47" w14:textId="1EA4718D" w:rsidR="00F571C1" w:rsidRDefault="00F571C1" w:rsidP="00F571C1">
      <w:pPr>
        <w:jc w:val="both"/>
      </w:pPr>
      <w:r>
        <w:t xml:space="preserve">Where </w:t>
      </w:r>
      <w:r w:rsidRPr="00F571C1">
        <w:rPr>
          <w:i/>
        </w:rPr>
        <w:t>S</w:t>
      </w:r>
      <w:r>
        <w:t xml:space="preserve"> is the Shannon’s bound,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MIN</m:t>
            </m:r>
          </m:sub>
        </m:sSub>
      </m:oMath>
      <w:r>
        <w:t xml:space="preserve"> is the minimum decodable SINR, </w:t>
      </w:r>
      <m:oMath>
        <m:r>
          <m:rPr>
            <m:nor/>
          </m:rPr>
          <w:rPr>
            <w:rFonts w:ascii="Cambria Math" w:hAnsi="Cambria Math"/>
          </w:rPr>
          <m:t>TH</m:t>
        </m:r>
        <m:sSub>
          <m:sSubPr>
            <m:ctrlPr>
              <w:rPr>
                <w:rFonts w:ascii="Cambria Math" w:hAnsi="Cambria Math"/>
                <w:i/>
              </w:rPr>
            </m:ctrlPr>
          </m:sSubPr>
          <m:e>
            <m:r>
              <m:rPr>
                <m:nor/>
              </m:rPr>
              <w:rPr>
                <w:rFonts w:ascii="Cambria Math" w:hAnsi="Cambria Math"/>
              </w:rPr>
              <m:t>R</m:t>
            </m:r>
          </m:e>
          <m:sub>
            <m:r>
              <m:rPr>
                <m:nor/>
              </m:rPr>
              <w:rPr>
                <w:rFonts w:ascii="Cambria Math" w:hAnsi="Cambria Math"/>
              </w:rPr>
              <m:t>MAX</m:t>
            </m:r>
          </m:sub>
        </m:sSub>
      </m:oMath>
      <w:r>
        <w:t xml:space="preserve"> is the maximum achievable throughput and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is corresponding </w:t>
      </w:r>
      <w:r w:rsidRPr="006E39E6">
        <w:rPr>
          <w:i/>
        </w:rPr>
        <w:t>SINR</w:t>
      </w:r>
      <w:r>
        <w:t xml:space="preserve">, α is the attenuation factor which takes into account the system inefficiency and implementation loss compared to the Shannon’s limit. Since in NR we will consider higher order modulation the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MAX</m:t>
            </m:r>
          </m:sub>
        </m:sSub>
      </m:oMath>
      <w:r>
        <w:t xml:space="preserve"> needs to be modified. RAN4 should also consider whether to update the </w:t>
      </w:r>
      <m:oMath>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oMath>
      <w:r>
        <w:t xml:space="preserve"> Related to this, RAN4 should also reconsider what is the outage criteria for mmW.</w:t>
      </w:r>
    </w:p>
    <w:p w14:paraId="56ED9392" w14:textId="26098551" w:rsidR="006E1B84" w:rsidRDefault="00F571C1" w:rsidP="00F571C1">
      <w:pPr>
        <w:jc w:val="both"/>
      </w:pPr>
      <w:r>
        <w:t xml:space="preserve">Another important consideration is related to the criteria adopted to determine the RF requirements. So far we used to specify the requirements based on mean and 5%-tile throughput degradation. In particular, we looked at ACLR and ACS which guarantee both mean and 5%-tile throughput degradation to be within 5%. We believe that this criteria needs to </w:t>
      </w:r>
      <w:r w:rsidR="006E1B84">
        <w:t>re-evaluated</w:t>
      </w:r>
      <w:r>
        <w:t xml:space="preserve"> </w:t>
      </w:r>
      <w:r w:rsidR="006E1B84">
        <w:t>in case of systems with spatial control of interference. For system with very high directive antenna</w:t>
      </w:r>
      <w:r w:rsidR="00F108AA">
        <w:t>s</w:t>
      </w:r>
      <w:r w:rsidR="006E1B84">
        <w:t xml:space="preserve"> the baseline performance with inter-cell interference only (no ACI) will be much improved compared to a single antenna system. Therefore the criteria adopted by RAN4 should also consider the improvement of the baseline SINR. In other words, the </w:t>
      </w:r>
      <w:r w:rsidR="006E1B84">
        <w:lastRenderedPageBreak/>
        <w:t xml:space="preserve">criteria to determine ACLR and ACS requirements should allow to achieve the best trade-off between reasonable requirements for mmW implementation and overall system performance. Related to this aspect is also the impact on cell edge throughput. In case of high directive systems, the ACI CDF </w:t>
      </w:r>
      <w:r w:rsidR="0019625B">
        <w:t xml:space="preserve">will </w:t>
      </w:r>
      <w:r w:rsidR="001851BF">
        <w:t>strongly</w:t>
      </w:r>
      <w:r w:rsidR="0019625B">
        <w:t xml:space="preserve"> </w:t>
      </w:r>
      <w:r w:rsidR="006E1B84">
        <w:t xml:space="preserve">depend on the simulated layout, especially whether victim and adjacent BS are co-located or not. </w:t>
      </w:r>
    </w:p>
    <w:p w14:paraId="4603E63C" w14:textId="5CAC35B6" w:rsidR="00F571C1" w:rsidRDefault="006E1B84" w:rsidP="00F571C1">
      <w:pPr>
        <w:jc w:val="both"/>
      </w:pPr>
      <w:r>
        <w:t xml:space="preserve">Based on the above observations we suggest RAN4 to re-evaluate the throughput degradation limits once more data </w:t>
      </w:r>
      <w:r w:rsidR="000364DC">
        <w:t>is available after the calibration process. Depending on the scenarios, several options are possible. For instance the 5% degradation limit could be increased, or in specific scenario only the mean throughput degradation could be</w:t>
      </w:r>
      <w:r>
        <w:t xml:space="preserve"> </w:t>
      </w:r>
      <w:r w:rsidR="000364DC">
        <w:t>considered provided that the impact to cell edge throughput of single antenna system is negligible. These are only possible suggestions, we invite other companies to also take into account new possible criteria to specify proper mmW RF requirements.</w:t>
      </w:r>
      <w:r>
        <w:t xml:space="preserve"> </w:t>
      </w:r>
      <w:r w:rsidR="00F571C1">
        <w:t xml:space="preserve">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469C017F" w14:textId="77777777" w:rsidR="00407D2B" w:rsidRDefault="00407D2B" w:rsidP="00F571C1">
      <w:pPr>
        <w:jc w:val="both"/>
      </w:pPr>
      <w:r>
        <w:t xml:space="preserve">In this contributions, we provided specific details about the methodology to be adopted for the adjacent channel coexistence study in RAN4. </w:t>
      </w:r>
    </w:p>
    <w:p w14:paraId="69FDFD42" w14:textId="515935F3" w:rsidR="000364DC" w:rsidRDefault="00407D2B" w:rsidP="00F571C1">
      <w:pPr>
        <w:jc w:val="both"/>
      </w:pPr>
      <w:r>
        <w:t>We also made observations about the way ACLR/ACS should be included in the RAN4 study, in particular we propose</w:t>
      </w:r>
      <w:r w:rsidR="00911D44">
        <w:t>d</w:t>
      </w:r>
      <w:bookmarkStart w:id="4" w:name="_GoBack"/>
      <w:bookmarkEnd w:id="4"/>
      <w:r>
        <w:t xml:space="preserve"> to use beam-formed </w:t>
      </w:r>
      <w:r w:rsidR="00630522">
        <w:t xml:space="preserve">frequency flat </w:t>
      </w:r>
      <w:r>
        <w:t xml:space="preserve">ACLR. </w:t>
      </w:r>
    </w:p>
    <w:p w14:paraId="76FD6E5B" w14:textId="77777777" w:rsidR="00407D2B" w:rsidRDefault="00407D2B" w:rsidP="00F571C1">
      <w:pPr>
        <w:jc w:val="both"/>
      </w:pPr>
      <w:r>
        <w:t>Regarding the UE assumptions, we made some considerations about the maximum number of antenna element which should be adopted for the coexistence simulations.</w:t>
      </w:r>
    </w:p>
    <w:p w14:paraId="2C94B391" w14:textId="3B64F9EC" w:rsidR="000364DC" w:rsidRDefault="00407D2B" w:rsidP="00F571C1">
      <w:pPr>
        <w:jc w:val="both"/>
      </w:pPr>
      <w:r>
        <w:t xml:space="preserve">Finally, we discussed about the current criteria adopted to determine RF requirements, and we suggested other companies to review and adapt those criteria to the new scenarios under investigation for mmW.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80978B3" w14:textId="40088099" w:rsidR="00F54BE6" w:rsidRDefault="00F54BE6" w:rsidP="00AC033F">
      <w:pPr>
        <w:numPr>
          <w:ilvl w:val="0"/>
          <w:numId w:val="2"/>
        </w:numPr>
        <w:tabs>
          <w:tab w:val="left" w:pos="1080"/>
        </w:tabs>
        <w:jc w:val="both"/>
        <w:rPr>
          <w:lang w:val="en-US"/>
        </w:rPr>
      </w:pPr>
      <w:bookmarkStart w:id="5" w:name="_Ref450558125"/>
      <w:bookmarkStart w:id="6" w:name="_Ref450557811"/>
      <w:bookmarkStart w:id="7" w:name="_Ref447207862"/>
      <w:bookmarkStart w:id="8" w:name="_Ref442191279"/>
      <w:bookmarkStart w:id="9" w:name="_Ref447031905"/>
      <w:bookmarkStart w:id="10" w:name="_Ref419388595"/>
      <w:bookmarkStart w:id="11" w:name="_Ref419289036"/>
      <w:r>
        <w:rPr>
          <w:lang w:val="en-US"/>
        </w:rPr>
        <w:t xml:space="preserve">RP-160671, “New SID Proposal: Study on New Radio Access Technology”, NTT </w:t>
      </w:r>
      <w:bookmarkEnd w:id="5"/>
      <w:r w:rsidR="00981D0D">
        <w:rPr>
          <w:lang w:val="en-US"/>
        </w:rPr>
        <w:t>DOCOMO</w:t>
      </w:r>
      <w:r w:rsidR="00787DCB">
        <w:rPr>
          <w:lang w:val="en-US"/>
        </w:rPr>
        <w:t>.</w:t>
      </w:r>
    </w:p>
    <w:p w14:paraId="3096F754" w14:textId="213A5031" w:rsidR="00981D0D" w:rsidRDefault="00981D0D" w:rsidP="00AC033F">
      <w:pPr>
        <w:numPr>
          <w:ilvl w:val="0"/>
          <w:numId w:val="2"/>
        </w:numPr>
        <w:tabs>
          <w:tab w:val="left" w:pos="1080"/>
        </w:tabs>
        <w:jc w:val="both"/>
        <w:rPr>
          <w:lang w:val="en-US"/>
        </w:rPr>
      </w:pPr>
      <w:bookmarkStart w:id="12" w:name="_Ref458418759"/>
      <w:r>
        <w:rPr>
          <w:lang w:val="en-US"/>
        </w:rPr>
        <w:t>R4-164528, “</w:t>
      </w:r>
      <w:r w:rsidRPr="00981D0D">
        <w:rPr>
          <w:lang w:val="en-US"/>
        </w:rPr>
        <w:t>WF on WP 5D co-existence simulation assumptions</w:t>
      </w:r>
      <w:r>
        <w:rPr>
          <w:lang w:val="en-US"/>
        </w:rPr>
        <w:t>”, NTT DOCOMO.</w:t>
      </w:r>
      <w:bookmarkEnd w:id="12"/>
      <w:r>
        <w:rPr>
          <w:lang w:val="en-US"/>
        </w:rPr>
        <w:t xml:space="preserve"> </w:t>
      </w:r>
    </w:p>
    <w:p w14:paraId="72D0ED53" w14:textId="36BBA5BC" w:rsidR="00981D0D" w:rsidRPr="00981D0D" w:rsidRDefault="00981D0D" w:rsidP="00AC033F">
      <w:pPr>
        <w:numPr>
          <w:ilvl w:val="0"/>
          <w:numId w:val="2"/>
        </w:numPr>
        <w:tabs>
          <w:tab w:val="left" w:pos="1080"/>
        </w:tabs>
        <w:jc w:val="both"/>
        <w:rPr>
          <w:lang w:val="en-US"/>
        </w:rPr>
      </w:pPr>
      <w:bookmarkStart w:id="13" w:name="_Ref458419065"/>
      <w:bookmarkStart w:id="14" w:name="_Ref450558964"/>
      <w:bookmarkEnd w:id="6"/>
      <w:r w:rsidRPr="00981D0D">
        <w:rPr>
          <w:lang w:val="en-US"/>
        </w:rPr>
        <w:t>R4-164210</w:t>
      </w:r>
      <w:r>
        <w:rPr>
          <w:lang w:val="en-US"/>
        </w:rPr>
        <w:t>,</w:t>
      </w:r>
      <w:r w:rsidRPr="00981D0D">
        <w:rPr>
          <w:lang w:val="en-US"/>
        </w:rPr>
        <w:t xml:space="preserve"> </w:t>
      </w:r>
      <w:r>
        <w:rPr>
          <w:lang w:val="en-US"/>
        </w:rPr>
        <w:t>“</w:t>
      </w:r>
      <w:r w:rsidRPr="00981D0D">
        <w:rPr>
          <w:lang w:val="en-US"/>
        </w:rPr>
        <w:t>On the adjacent channel coexistence study for NR</w:t>
      </w:r>
      <w:r>
        <w:rPr>
          <w:lang w:val="en-US"/>
        </w:rPr>
        <w:t>”, Qualcomm Incorporated</w:t>
      </w:r>
      <w:bookmarkEnd w:id="13"/>
    </w:p>
    <w:p w14:paraId="53BBA148" w14:textId="5B43152D" w:rsidR="008D44F9" w:rsidRDefault="00FF7978" w:rsidP="00AC033F">
      <w:pPr>
        <w:numPr>
          <w:ilvl w:val="0"/>
          <w:numId w:val="2"/>
        </w:numPr>
        <w:tabs>
          <w:tab w:val="left" w:pos="1080"/>
        </w:tabs>
        <w:jc w:val="both"/>
        <w:rPr>
          <w:lang w:val="en-US"/>
        </w:rPr>
      </w:pPr>
      <w:r>
        <w:t>3GPP TR 36.942 version 8.2.0 Release 8</w:t>
      </w:r>
      <w:r w:rsidRPr="00FF7978">
        <w:rPr>
          <w:lang w:val="en-US"/>
        </w:rPr>
        <w:t xml:space="preserve">, </w:t>
      </w:r>
      <w:r>
        <w:rPr>
          <w:lang w:val="en-US"/>
        </w:rPr>
        <w:t>“</w:t>
      </w:r>
      <w:r w:rsidRPr="00FF7978">
        <w:rPr>
          <w:lang w:val="en-US"/>
        </w:rPr>
        <w:t>LTE; Evolved Universal Terrestrial Radio Access (E-UTRA);</w:t>
      </w:r>
      <w:r>
        <w:rPr>
          <w:lang w:val="en-US"/>
        </w:rPr>
        <w:t xml:space="preserve"> </w:t>
      </w:r>
      <w:r w:rsidRPr="00FF7978">
        <w:rPr>
          <w:lang w:val="en-US"/>
        </w:rPr>
        <w:t>Radio Frequency (RF) system scenarios</w:t>
      </w:r>
      <w:r>
        <w:rPr>
          <w:lang w:val="en-US"/>
        </w:rPr>
        <w:t>”.</w:t>
      </w:r>
      <w:bookmarkEnd w:id="14"/>
    </w:p>
    <w:p w14:paraId="43435ACB" w14:textId="4C0811A5" w:rsidR="00B22E78" w:rsidRDefault="00B22E78" w:rsidP="00AC033F">
      <w:pPr>
        <w:numPr>
          <w:ilvl w:val="0"/>
          <w:numId w:val="2"/>
        </w:numPr>
        <w:tabs>
          <w:tab w:val="left" w:pos="1080"/>
        </w:tabs>
        <w:jc w:val="both"/>
        <w:rPr>
          <w:lang w:val="en-US"/>
        </w:rPr>
      </w:pPr>
      <w:bookmarkStart w:id="15" w:name="_Ref458421956"/>
      <w:r w:rsidRPr="00B22E78">
        <w:rPr>
          <w:lang w:val="en-US"/>
        </w:rPr>
        <w:t>R1-165490</w:t>
      </w:r>
      <w:r>
        <w:rPr>
          <w:lang w:val="en-US"/>
        </w:rPr>
        <w:t>, “</w:t>
      </w:r>
      <w:r w:rsidRPr="00B22E78">
        <w:rPr>
          <w:lang w:val="en-US"/>
        </w:rPr>
        <w:t>Way-forward for TRP antenna modeling</w:t>
      </w:r>
      <w:r>
        <w:rPr>
          <w:lang w:val="en-US"/>
        </w:rPr>
        <w:t xml:space="preserve">”, </w:t>
      </w:r>
      <w:r w:rsidRPr="00B22E78">
        <w:rPr>
          <w:lang w:val="en-US"/>
        </w:rPr>
        <w:t>Samsung, Intel, Ericson, Qualcomm, Xinwei</w:t>
      </w:r>
      <w:r>
        <w:rPr>
          <w:lang w:val="en-US"/>
        </w:rPr>
        <w:t>.</w:t>
      </w:r>
      <w:bookmarkEnd w:id="15"/>
    </w:p>
    <w:p w14:paraId="7E1614C1" w14:textId="6E71C804" w:rsidR="00B22E78" w:rsidRDefault="00B22E78" w:rsidP="00AC033F">
      <w:pPr>
        <w:numPr>
          <w:ilvl w:val="0"/>
          <w:numId w:val="2"/>
        </w:numPr>
        <w:tabs>
          <w:tab w:val="left" w:pos="1080"/>
        </w:tabs>
        <w:jc w:val="both"/>
        <w:rPr>
          <w:lang w:val="en-US"/>
        </w:rPr>
      </w:pPr>
      <w:bookmarkStart w:id="16" w:name="_Ref458423517"/>
      <w:r w:rsidRPr="00B22E78">
        <w:rPr>
          <w:lang w:val="en-US"/>
        </w:rPr>
        <w:t>3GPP TR 37.840 V12.1.0 (2013-12)</w:t>
      </w:r>
      <w:r>
        <w:rPr>
          <w:lang w:val="en-US"/>
        </w:rPr>
        <w:t>.</w:t>
      </w:r>
      <w:bookmarkEnd w:id="16"/>
    </w:p>
    <w:p w14:paraId="5247D33B" w14:textId="07B5B866" w:rsidR="00B00983" w:rsidRPr="00362266" w:rsidRDefault="00B00983" w:rsidP="00AC033F">
      <w:pPr>
        <w:numPr>
          <w:ilvl w:val="0"/>
          <w:numId w:val="2"/>
        </w:numPr>
        <w:tabs>
          <w:tab w:val="left" w:pos="1080"/>
        </w:tabs>
        <w:jc w:val="both"/>
        <w:rPr>
          <w:lang w:val="en-US"/>
        </w:rPr>
      </w:pPr>
      <w:bookmarkStart w:id="17" w:name="_Ref458422423"/>
      <w:r>
        <w:rPr>
          <w:rFonts w:hint="eastAsia"/>
          <w:lang w:eastAsia="ko-KR"/>
        </w:rPr>
        <w:t>TR36.897, Study on Elevation Beamforming/Full-Dimension (FD) Multiple Input Multiple Output (MIMO) for LTE (Release 13), v13.0.0.</w:t>
      </w:r>
      <w:bookmarkEnd w:id="17"/>
    </w:p>
    <w:p w14:paraId="725E27F9" w14:textId="5AFBFF79" w:rsidR="00362266" w:rsidRPr="00FF7978" w:rsidRDefault="00362266" w:rsidP="00AC033F">
      <w:pPr>
        <w:numPr>
          <w:ilvl w:val="0"/>
          <w:numId w:val="2"/>
        </w:numPr>
        <w:tabs>
          <w:tab w:val="left" w:pos="1080"/>
        </w:tabs>
        <w:jc w:val="both"/>
        <w:rPr>
          <w:lang w:val="en-US"/>
        </w:rPr>
      </w:pPr>
      <w:bookmarkStart w:id="18" w:name="_Ref458423575"/>
      <w:r w:rsidRPr="00362266">
        <w:rPr>
          <w:lang w:val="en-US"/>
        </w:rPr>
        <w:t>3GPP TR 37.842 V1.8.0 (2015-10)</w:t>
      </w:r>
      <w:r>
        <w:rPr>
          <w:lang w:val="en-US"/>
        </w:rPr>
        <w:t>.</w:t>
      </w:r>
      <w:bookmarkEnd w:id="18"/>
    </w:p>
    <w:p w14:paraId="1FEF6547" w14:textId="3D3B461F" w:rsidR="006B359E" w:rsidRDefault="006B359E" w:rsidP="00AC033F">
      <w:pPr>
        <w:pStyle w:val="EX"/>
        <w:numPr>
          <w:ilvl w:val="0"/>
          <w:numId w:val="2"/>
        </w:numPr>
        <w:overflowPunct w:val="0"/>
        <w:autoSpaceDE w:val="0"/>
        <w:autoSpaceDN w:val="0"/>
        <w:adjustRightInd w:val="0"/>
        <w:jc w:val="both"/>
        <w:textAlignment w:val="baseline"/>
        <w:rPr>
          <w:lang w:val="en-US"/>
        </w:rPr>
      </w:pPr>
      <w:bookmarkStart w:id="19" w:name="_Ref450558494"/>
      <w:r w:rsidRPr="00100FE3">
        <w:rPr>
          <w:lang w:val="en-US"/>
        </w:rPr>
        <w:t>RP-160508, “LS on Characteristics of terrestrial IMT systems for frequency sharing/interf. analysis in  24.25 - 86 GHz (ITU-R WP5D/temp/39r2; to: RAN, 3GPP2, ARIB, ATIS, CCSA, ETSI, IEEE, ITRI, TIA, TTA, TTC, TSDSI, WiMAX Forum; cc: -; contact: Counselor ITU-R SG5)”, Source: ITU-R WP5D.</w:t>
      </w:r>
      <w:bookmarkEnd w:id="19"/>
    </w:p>
    <w:p w14:paraId="184B3A34" w14:textId="77777777" w:rsidR="00FC14CD" w:rsidRPr="00FC14CD" w:rsidRDefault="00FF7978" w:rsidP="00AC033F">
      <w:pPr>
        <w:pStyle w:val="EX"/>
        <w:numPr>
          <w:ilvl w:val="0"/>
          <w:numId w:val="2"/>
        </w:numPr>
        <w:overflowPunct w:val="0"/>
        <w:autoSpaceDE w:val="0"/>
        <w:autoSpaceDN w:val="0"/>
        <w:adjustRightInd w:val="0"/>
        <w:jc w:val="both"/>
        <w:textAlignment w:val="baseline"/>
        <w:rPr>
          <w:lang w:val="en-US"/>
        </w:rPr>
      </w:pPr>
      <w:bookmarkStart w:id="20" w:name="_Ref450558961"/>
      <w:r>
        <w:t>3GPP TR 25.942 version 3.3.0 Release 1999, “Universal Mobile Telecommunications System (UMTS); RF system scenarios”.</w:t>
      </w:r>
      <w:bookmarkEnd w:id="7"/>
      <w:bookmarkEnd w:id="8"/>
      <w:bookmarkEnd w:id="9"/>
      <w:bookmarkEnd w:id="10"/>
      <w:bookmarkEnd w:id="11"/>
      <w:bookmarkEnd w:id="20"/>
    </w:p>
    <w:p w14:paraId="57BC794C" w14:textId="727AD65E" w:rsidR="00FC14CD" w:rsidRPr="006B6D6C" w:rsidRDefault="00FC14CD" w:rsidP="00AC033F">
      <w:pPr>
        <w:pStyle w:val="EX"/>
        <w:numPr>
          <w:ilvl w:val="0"/>
          <w:numId w:val="2"/>
        </w:numPr>
        <w:overflowPunct w:val="0"/>
        <w:autoSpaceDE w:val="0"/>
        <w:autoSpaceDN w:val="0"/>
        <w:adjustRightInd w:val="0"/>
        <w:jc w:val="both"/>
        <w:textAlignment w:val="baseline"/>
        <w:rPr>
          <w:lang w:val="en-US"/>
        </w:rPr>
      </w:pPr>
      <w:bookmarkStart w:id="21" w:name="_Ref450568879"/>
      <w:r>
        <w:t>3GPP TR 36.889</w:t>
      </w:r>
      <w:bookmarkEnd w:id="21"/>
      <w:r w:rsidR="005C78AF">
        <w:t>, “</w:t>
      </w:r>
      <w:r w:rsidR="006B6D6C">
        <w:t>Study on Licensed-Assisted Access to Unlicensed Spectrum; (Release 13)</w:t>
      </w:r>
      <w:r w:rsidR="005C78AF">
        <w:t>”</w:t>
      </w:r>
      <w:r w:rsidR="006B6D6C">
        <w:t>.</w:t>
      </w:r>
    </w:p>
    <w:p w14:paraId="5000C732" w14:textId="6E525EF7" w:rsidR="00FC14CD" w:rsidRPr="00AC50DA" w:rsidRDefault="00FC14CD" w:rsidP="00AC033F">
      <w:pPr>
        <w:pStyle w:val="EX"/>
        <w:numPr>
          <w:ilvl w:val="0"/>
          <w:numId w:val="2"/>
        </w:numPr>
        <w:overflowPunct w:val="0"/>
        <w:autoSpaceDE w:val="0"/>
        <w:autoSpaceDN w:val="0"/>
        <w:adjustRightInd w:val="0"/>
        <w:jc w:val="both"/>
        <w:textAlignment w:val="baseline"/>
      </w:pPr>
      <w:bookmarkStart w:id="22" w:name="_Ref450568901"/>
      <w:bookmarkStart w:id="23" w:name="_Ref450583631"/>
      <w:r>
        <w:t>3GPP TR 36.886</w:t>
      </w:r>
      <w:bookmarkEnd w:id="22"/>
      <w:r w:rsidR="005C78AF">
        <w:t>, “</w:t>
      </w:r>
      <w:r w:rsidR="00AC50DA">
        <w:t>High Power UE for Band 41(FS_LTE_B41_HPUE); (Release 14)</w:t>
      </w:r>
      <w:r w:rsidR="005C78AF">
        <w:t>”</w:t>
      </w:r>
      <w:bookmarkEnd w:id="23"/>
    </w:p>
    <w:p w14:paraId="18DB0F46" w14:textId="71977592" w:rsidR="00F43FE8" w:rsidRPr="00F43FE8" w:rsidRDefault="00F43FE8" w:rsidP="00AC033F">
      <w:pPr>
        <w:pStyle w:val="EX"/>
        <w:numPr>
          <w:ilvl w:val="0"/>
          <w:numId w:val="2"/>
        </w:numPr>
        <w:overflowPunct w:val="0"/>
        <w:autoSpaceDE w:val="0"/>
        <w:autoSpaceDN w:val="0"/>
        <w:adjustRightInd w:val="0"/>
        <w:jc w:val="both"/>
        <w:textAlignment w:val="baseline"/>
        <w:rPr>
          <w:lang w:val="en-US"/>
        </w:rPr>
      </w:pPr>
      <w:r>
        <w:t xml:space="preserve">3GPP TR 36.802, “Narrowband Internet of Things (NB-IoT); Technical Report for BS and UE radio transmission and reception (Release 13)” </w:t>
      </w:r>
    </w:p>
    <w:p w14:paraId="1A2A1A59" w14:textId="3F6B5D4C" w:rsidR="00EE7F94" w:rsidRPr="00FC14CD" w:rsidRDefault="00EE7F94" w:rsidP="00AC033F">
      <w:pPr>
        <w:pStyle w:val="EX"/>
        <w:numPr>
          <w:ilvl w:val="0"/>
          <w:numId w:val="2"/>
        </w:numPr>
        <w:overflowPunct w:val="0"/>
        <w:autoSpaceDE w:val="0"/>
        <w:autoSpaceDN w:val="0"/>
        <w:adjustRightInd w:val="0"/>
        <w:jc w:val="both"/>
        <w:textAlignment w:val="baseline"/>
        <w:rPr>
          <w:lang w:val="en-US"/>
        </w:rPr>
      </w:pPr>
      <w:bookmarkStart w:id="24" w:name="_Ref450580572"/>
      <w:r>
        <w:t>3GPP TR 36.913, “Study on Scenarios and Requirements for Next Generation access technologies”</w:t>
      </w:r>
      <w:bookmarkEnd w:id="24"/>
    </w:p>
    <w:p w14:paraId="28640511" w14:textId="3B9001D0" w:rsidR="00E43D4D" w:rsidRPr="00787DCB" w:rsidRDefault="00FC14CD" w:rsidP="00AC033F">
      <w:pPr>
        <w:pStyle w:val="EX"/>
        <w:numPr>
          <w:ilvl w:val="0"/>
          <w:numId w:val="2"/>
        </w:numPr>
        <w:overflowPunct w:val="0"/>
        <w:autoSpaceDE w:val="0"/>
        <w:autoSpaceDN w:val="0"/>
        <w:adjustRightInd w:val="0"/>
        <w:jc w:val="both"/>
        <w:textAlignment w:val="baseline"/>
        <w:rPr>
          <w:lang w:val="en-US"/>
        </w:rPr>
      </w:pPr>
      <w:bookmarkStart w:id="25" w:name="_Ref450576622"/>
      <w:r>
        <w:t>ECC Report 131, “Derivation of a block edge mask (BEM) for terminal stations in the 2.6 GHz frequency band (2500-2690 MHz)”</w:t>
      </w:r>
      <w:bookmarkEnd w:id="25"/>
      <w:r w:rsidR="00787DCB">
        <w:t>.</w:t>
      </w:r>
    </w:p>
    <w:p w14:paraId="4D6FA074" w14:textId="69EF99AC" w:rsidR="004603DF" w:rsidRPr="005E3E2E" w:rsidRDefault="00787DCB" w:rsidP="00AC033F">
      <w:pPr>
        <w:pStyle w:val="EX"/>
        <w:numPr>
          <w:ilvl w:val="0"/>
          <w:numId w:val="2"/>
        </w:numPr>
        <w:overflowPunct w:val="0"/>
        <w:autoSpaceDE w:val="0"/>
        <w:autoSpaceDN w:val="0"/>
        <w:adjustRightInd w:val="0"/>
        <w:jc w:val="both"/>
        <w:textAlignment w:val="baseline"/>
        <w:rPr>
          <w:lang w:val="en-US"/>
        </w:rPr>
      </w:pPr>
      <w:bookmarkStart w:id="26" w:name="_Ref450576705"/>
      <w:r>
        <w:rPr>
          <w:lang w:val="en-US"/>
        </w:rPr>
        <w:lastRenderedPageBreak/>
        <w:t>R4-162374, “General views on 5G coexistence study”, Huawei, HiSilicon.</w:t>
      </w:r>
      <w:bookmarkEnd w:id="26"/>
    </w:p>
    <w:sectPr w:rsidR="004603DF" w:rsidRPr="005E3E2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B2229" w14:textId="77777777" w:rsidR="002C3014" w:rsidRDefault="002C3014">
      <w:r>
        <w:separator/>
      </w:r>
    </w:p>
  </w:endnote>
  <w:endnote w:type="continuationSeparator" w:id="0">
    <w:p w14:paraId="4424A325" w14:textId="77777777" w:rsidR="002C3014" w:rsidRDefault="002C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10840" w:rsidRDefault="003108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1D44">
      <w:rPr>
        <w:rStyle w:val="PageNumber"/>
      </w:rPr>
      <w:t>5</w:t>
    </w:r>
    <w:r>
      <w:rPr>
        <w:rStyle w:val="PageNumber"/>
      </w:rPr>
      <w:fldChar w:fldCharType="end"/>
    </w:r>
  </w:p>
  <w:p w14:paraId="40DAC66D" w14:textId="77777777" w:rsidR="00310840" w:rsidRDefault="0031084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67DCD" w14:textId="77777777" w:rsidR="002C3014" w:rsidRDefault="002C3014">
      <w:r>
        <w:separator/>
      </w:r>
    </w:p>
  </w:footnote>
  <w:footnote w:type="continuationSeparator" w:id="0">
    <w:p w14:paraId="757BB422" w14:textId="77777777" w:rsidR="002C3014" w:rsidRDefault="002C3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36"/>
  </w:num>
  <w:num w:numId="4">
    <w:abstractNumId w:val="37"/>
  </w:num>
  <w:num w:numId="5">
    <w:abstractNumId w:val="30"/>
  </w:num>
  <w:num w:numId="6">
    <w:abstractNumId w:val="18"/>
  </w:num>
  <w:num w:numId="7">
    <w:abstractNumId w:val="8"/>
  </w:num>
  <w:num w:numId="8">
    <w:abstractNumId w:val="35"/>
  </w:num>
  <w:num w:numId="9">
    <w:abstractNumId w:val="19"/>
  </w:num>
  <w:num w:numId="10">
    <w:abstractNumId w:val="27"/>
  </w:num>
  <w:num w:numId="11">
    <w:abstractNumId w:val="38"/>
  </w:num>
  <w:num w:numId="12">
    <w:abstractNumId w:val="5"/>
  </w:num>
  <w:num w:numId="13">
    <w:abstractNumId w:val="13"/>
  </w:num>
  <w:num w:numId="14">
    <w:abstractNumId w:val="3"/>
  </w:num>
  <w:num w:numId="15">
    <w:abstractNumId w:val="11"/>
  </w:num>
  <w:num w:numId="16">
    <w:abstractNumId w:val="12"/>
  </w:num>
  <w:num w:numId="17">
    <w:abstractNumId w:val="0"/>
  </w:num>
  <w:num w:numId="18">
    <w:abstractNumId w:val="20"/>
  </w:num>
  <w:num w:numId="19">
    <w:abstractNumId w:val="26"/>
  </w:num>
  <w:num w:numId="20">
    <w:abstractNumId w:val="9"/>
  </w:num>
  <w:num w:numId="21">
    <w:abstractNumId w:val="4"/>
  </w:num>
  <w:num w:numId="22">
    <w:abstractNumId w:val="15"/>
  </w:num>
  <w:num w:numId="23">
    <w:abstractNumId w:val="31"/>
  </w:num>
  <w:num w:numId="24">
    <w:abstractNumId w:val="22"/>
  </w:num>
  <w:num w:numId="25">
    <w:abstractNumId w:val="34"/>
  </w:num>
  <w:num w:numId="26">
    <w:abstractNumId w:val="10"/>
  </w:num>
  <w:num w:numId="27">
    <w:abstractNumId w:val="21"/>
  </w:num>
  <w:num w:numId="28">
    <w:abstractNumId w:val="25"/>
  </w:num>
  <w:num w:numId="29">
    <w:abstractNumId w:val="14"/>
  </w:num>
  <w:num w:numId="30">
    <w:abstractNumId w:val="17"/>
  </w:num>
  <w:num w:numId="31">
    <w:abstractNumId w:val="24"/>
  </w:num>
  <w:num w:numId="32">
    <w:abstractNumId w:val="7"/>
  </w:num>
  <w:num w:numId="33">
    <w:abstractNumId w:val="16"/>
  </w:num>
  <w:num w:numId="34">
    <w:abstractNumId w:val="2"/>
  </w:num>
  <w:num w:numId="35">
    <w:abstractNumId w:val="24"/>
  </w:num>
  <w:num w:numId="36">
    <w:abstractNumId w:val="23"/>
  </w:num>
  <w:num w:numId="37">
    <w:abstractNumId w:val="29"/>
  </w:num>
  <w:num w:numId="38">
    <w:abstractNumId w:val="32"/>
  </w:num>
  <w:num w:numId="39">
    <w:abstractNumId w:val="28"/>
  </w:num>
  <w:num w:numId="40">
    <w:abstractNumId w:val="1"/>
  </w:num>
  <w:num w:numId="4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014"/>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3164"/>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139"/>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15A"/>
    <w:rsid w:val="00F0641A"/>
    <w:rsid w:val="00F066C6"/>
    <w:rsid w:val="00F06C41"/>
    <w:rsid w:val="00F077AB"/>
    <w:rsid w:val="00F079C2"/>
    <w:rsid w:val="00F07B6F"/>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76B07CD-4657-443F-A6E9-B0A7BCAAD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6</Pages>
  <Words>2529</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9</cp:revision>
  <cp:lastPrinted>2016-08-12T15:05:00Z</cp:lastPrinted>
  <dcterms:created xsi:type="dcterms:W3CDTF">2016-08-12T11:43:00Z</dcterms:created>
  <dcterms:modified xsi:type="dcterms:W3CDTF">2016-08-12T20:55:00Z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-1748294443</vt:i4>
  </property>
  <property fmtid="{D5CDD505-2E9C-101B-9397-08002B2CF9AE}" pid="11" name="_EmailSubject">
    <vt:lpwstr>FW: RAN4 Papers on coex</vt:lpwstr>
  </property>
  <property fmtid="{D5CDD505-2E9C-101B-9397-08002B2CF9AE}" pid="12" name="_AuthorEmail">
    <vt:lpwstr>vgheorgh@qti.qualcomm.com</vt:lpwstr>
  </property>
  <property fmtid="{D5CDD505-2E9C-101B-9397-08002B2CF9AE}" pid="13" name="_AuthorEmailDisplayName">
    <vt:lpwstr>Gheorghiu, Valentin</vt:lpwstr>
  </property>
  <property fmtid="{D5CDD505-2E9C-101B-9397-08002B2CF9AE}" pid="14" name="_PreviousAdHocReviewCycleID">
    <vt:i4>155950803</vt:i4>
  </property>
  <property fmtid="{D5CDD505-2E9C-101B-9397-08002B2CF9AE}" pid="15" name="_ReviewingToolsShownOnce">
    <vt:lpwstr/>
  </property>
</Properties>
</file>